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3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7"/>
        <w:gridCol w:w="438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tl w:val="0"/>
                <w:lang w:val="ru-RU"/>
              </w:rPr>
              <w:t>М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одели Нового Ритейла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4.0: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адаптация технологических инноваций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рынков Азии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КНР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Ю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Корея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на рынке РФ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Школа востоковедения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Передерин Денис Александрович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Подробное описание содержания проектной работы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>В ходе данного проекта планируется изучение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ru-RU"/>
              </w:rPr>
              <w:t>бизнес модел</w:t>
            </w:r>
            <w:r>
              <w:rPr>
                <w:i w:val="1"/>
                <w:iCs w:val="1"/>
                <w:rtl w:val="0"/>
                <w:lang w:val="ru-RU"/>
              </w:rPr>
              <w:t>ей</w:t>
            </w:r>
            <w:r>
              <w:rPr>
                <w:i w:val="1"/>
                <w:iCs w:val="1"/>
                <w:rtl w:val="0"/>
                <w:lang w:val="ru-RU"/>
              </w:rPr>
              <w:t xml:space="preserve"> нового ритейла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en-US"/>
              </w:rPr>
              <w:t>Retail</w:t>
            </w:r>
            <w:r>
              <w:rPr>
                <w:i w:val="1"/>
                <w:iCs w:val="1"/>
                <w:rtl w:val="0"/>
                <w:lang w:val="ru-RU"/>
              </w:rPr>
              <w:t xml:space="preserve"> 4.0)</w:t>
            </w:r>
            <w:r>
              <w:rPr>
                <w:i w:val="1"/>
                <w:iCs w:val="1"/>
                <w:rtl w:val="0"/>
                <w:lang w:val="ru-RU"/>
              </w:rPr>
              <w:t xml:space="preserve"> на рынках Азии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КНР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Ю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Корея и др</w:t>
            </w:r>
            <w:r>
              <w:rPr>
                <w:i w:val="1"/>
                <w:iCs w:val="1"/>
                <w:rtl w:val="0"/>
                <w:lang w:val="ru-RU"/>
              </w:rPr>
              <w:t>.)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и более глубокий анализ существующих инноваций в российском рынке ритейла – с разбором причин успешности или неуспешности применения технологий ритейла на рынке РФ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i w:val="1"/>
                <w:i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Проект имеет прикладной характер</w:t>
            </w:r>
            <w:r>
              <w:rPr>
                <w:i w:val="1"/>
                <w:iCs w:val="1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Подразумевает коммуникацию с игроками рынка – как со стороны ритейлеров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так и технологических провайдеров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стартапов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Цель проекта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применение навыка исследовательской работы рынк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ов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Азии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в отношении потенциальных возможностей по применению в российских условиях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2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Проектное задание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виды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выполняемые студентом в проекте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rtl w:val="0"/>
                <w:lang w:val="ru-RU"/>
              </w:rPr>
              <w:t>Анализ бизнес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моделей Нового ритейла в Азии</w:t>
            </w:r>
            <w:r>
              <w:rPr>
                <w:rtl w:val="0"/>
                <w:lang w:val="en-US"/>
              </w:rPr>
              <w:t>;</w:t>
            </w:r>
            <w:r>
              <w:rPr>
                <w:rtl w:val="0"/>
                <w:lang w:val="ru-RU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Изучение технологий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связанных с новым ритейлом на рынке КНР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Кореи и др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Изучение российских кейсов в данной сфере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Интервьюирование игроков рынка с целью анализа причин успеха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или обратного результата</w:t>
            </w:r>
            <w:r>
              <w:rPr>
                <w:rtl w:val="0"/>
                <w:lang w:val="ru-RU"/>
              </w:rPr>
              <w:t>)</w:t>
            </w:r>
            <w:r>
              <w:rPr>
                <w:rtl w:val="0"/>
                <w:lang w:val="en-US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Систематизация проанализированного материала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Составление аналитической записки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ноября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года –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30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июня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2020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Количество кредитов 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Индивидуальная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групповая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представление результатов в группе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обсуждение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составление аналитических материалов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удаленная работа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Трудоемкость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часы в неделю</w:t>
            </w:r>
            <w:r>
              <w:rPr>
                <w:rtl w:val="0"/>
                <w:lang w:val="ru-RU"/>
              </w:rPr>
              <w:t xml:space="preserve">) 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Групповая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Требования к студентам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интерес к тем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ам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проекта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новые технологии в ритейле 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или технологические новшества в индустрии ритейла КНР и Ю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Кореи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аналитические навыки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Cambria" w:cs="Cambria" w:hAnsi="Cambria" w:eastAsia="Cambria" w:hint="default"/>
                <w:i w:val="1"/>
                <w:iCs w:val="1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ответственное отношение к групповой работе 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Разработка аналитического отчета по перспективным направлениям в Новом ритейле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Формат представления результатов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который подлежит оцениванию 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Аналитический отчет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создание вероятных профилей развития технологических инноваций в различных сегментах рынка ритейл в России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Аналитический отчет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Критерии отбора студентов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Преимущество отдается студентам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интересующимися цифровыми технологиями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в ритейле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,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или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имеющих интерес к технологическому сектору в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регион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ах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КНР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Ю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Кореи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знание китайского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корейского языка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) -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изложить в мотивационном письме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Востоковедение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Мировая экономика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Международные отношения 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Программа двух дипломов НИУ ВШЭ и Лондонского университета </w:t>
            </w:r>
            <w:r>
              <w:rPr>
                <w:rtl w:val="0"/>
                <w:lang w:val="ru-RU"/>
              </w:rPr>
              <w:t>"</w:t>
            </w:r>
            <w:r>
              <w:rPr>
                <w:rtl w:val="0"/>
                <w:lang w:val="ru-RU"/>
              </w:rPr>
              <w:t>Международные отношения</w:t>
            </w:r>
            <w:r>
              <w:rPr>
                <w:rtl w:val="0"/>
                <w:lang w:val="ru-RU"/>
              </w:rPr>
              <w:t>"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Территория</w:t>
            </w:r>
          </w:p>
        </w:tc>
        <w:tc>
          <w:tcPr>
            <w:tcW w:type="dxa" w:w="4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>Ст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Басманная</w:t>
            </w:r>
            <w:r>
              <w:rPr>
                <w:i w:val="1"/>
                <w:iCs w:val="1"/>
                <w:rtl w:val="0"/>
                <w:lang w:val="ru-RU"/>
              </w:rPr>
              <w:t xml:space="preserve">, 21/4, </w:t>
            </w:r>
            <w:r>
              <w:rPr>
                <w:i w:val="1"/>
                <w:iCs w:val="1"/>
                <w:rtl w:val="0"/>
                <w:lang w:val="ru-RU"/>
              </w:rPr>
              <w:t>к</w:t>
            </w:r>
            <w:r>
              <w:rPr>
                <w:i w:val="1"/>
                <w:iCs w:val="1"/>
                <w:rtl w:val="0"/>
                <w:lang w:val="ru-RU"/>
              </w:rPr>
              <w:t xml:space="preserve">.5;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Малая Ордынка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д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 xml:space="preserve">. 17, 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стр</w:t>
            </w:r>
            <w:r>
              <w:rPr>
                <w:rFonts w:ascii="Cambria" w:cs="Cambria" w:hAnsi="Cambria" w:eastAsia="Cambria"/>
                <w:i w:val="1"/>
                <w:iCs w:val="1"/>
                <w:rtl w:val="0"/>
                <w:lang w:val="ru-RU"/>
              </w:rPr>
              <w:t>. 1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