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204731B4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r w:rsidR="00E067EB" w:rsidRPr="00E067EB">
              <w:rPr>
                <w:i/>
                <w:color w:val="000000" w:themeColor="text1"/>
              </w:rPr>
              <w:t xml:space="preserve">Разработка диагностического инструментария для оценки </w:t>
            </w:r>
            <w:r w:rsidR="002B2174">
              <w:rPr>
                <w:i/>
                <w:color w:val="000000" w:themeColor="text1"/>
              </w:rPr>
              <w:t xml:space="preserve">уровня </w:t>
            </w:r>
            <w:r w:rsidR="00E067EB" w:rsidRPr="00E067EB">
              <w:rPr>
                <w:i/>
                <w:color w:val="000000" w:themeColor="text1"/>
              </w:rPr>
              <w:t>разви</w:t>
            </w:r>
            <w:r w:rsidR="002B2174">
              <w:rPr>
                <w:i/>
                <w:color w:val="000000" w:themeColor="text1"/>
              </w:rPr>
              <w:t>тия</w:t>
            </w:r>
            <w:r w:rsidR="00E067EB" w:rsidRPr="00E067EB">
              <w:rPr>
                <w:i/>
                <w:color w:val="000000" w:themeColor="text1"/>
              </w:rPr>
              <w:t xml:space="preserve"> компонент мышления инноватора</w:t>
            </w:r>
            <w:r w:rsidRPr="00E067EB"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6854B2C1" w14:textId="12171A63" w:rsidR="00C25472" w:rsidRDefault="002B2174" w:rsidP="002B1389">
            <w:pPr>
              <w:shd w:val="clear" w:color="auto" w:fill="FFFFFF"/>
              <w:jc w:val="both"/>
              <w:rPr>
                <w:i/>
              </w:rPr>
            </w:pPr>
            <w:bookmarkStart w:id="0" w:name="_GoBack"/>
            <w:r>
              <w:rPr>
                <w:i/>
              </w:rPr>
              <w:t xml:space="preserve">Проектная работа состоит из двух частей: исследовательской и прикладной. В первой части необходимо провести анализ литературы для ответа на следующие вопросы: какие компоненты инновационного мышления выделяют, как классифицируют, какими методами можно определить уровень развития каждой составляющей. Во второй части необходимо разработать инструментарий для диагностики уровня развития компонент инновационного мышления и дать практические рекомендации по внедрению в семинары и практические занятия курса по предпринимательству (в различные формы занятий, домашних заданий, игр и так далее). </w:t>
            </w:r>
          </w:p>
          <w:p w14:paraId="410BFC86" w14:textId="24C32A08" w:rsidR="00884954" w:rsidRPr="002B1389" w:rsidRDefault="002B2174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Полученные данные необходимо оформить в статью и подготовить презентацию.</w:t>
            </w:r>
            <w:bookmarkEnd w:id="0"/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7FD1022D" w:rsidR="00A47807" w:rsidRPr="002B1389" w:rsidRDefault="002B2174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Разработать инструменты для диагностики уровней развития компонент инновационного мышления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4DBD6AA4" w14:textId="6EDC957A" w:rsidR="002B2174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Подготовка к работе (исследовательская деятельность):</w:t>
            </w:r>
          </w:p>
          <w:p w14:paraId="6640A25A" w14:textId="77777777" w:rsidR="002B2174" w:rsidRDefault="002B2174" w:rsidP="002B2174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изучение литературных источников по теме мышление инноватора (МИ); </w:t>
            </w:r>
          </w:p>
          <w:p w14:paraId="58A14BA8" w14:textId="77777777" w:rsidR="002B2174" w:rsidRDefault="002B2174" w:rsidP="002B2174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определение компонент МИ, их классификация;</w:t>
            </w:r>
          </w:p>
          <w:p w14:paraId="3EE05AA0" w14:textId="70F31BF7" w:rsidR="002B2174" w:rsidRDefault="002B2174" w:rsidP="002B2174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обзор методик определения уровня развития МИ;</w:t>
            </w:r>
          </w:p>
          <w:p w14:paraId="3984CD8A" w14:textId="7F070244" w:rsidR="002B2174" w:rsidRDefault="002B2174" w:rsidP="002B2174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прохождение онлайн-курса «Техно-стартап», доступ к которому предоставит руководитель проекта;</w:t>
            </w:r>
          </w:p>
          <w:p w14:paraId="4AEEE822" w14:textId="2B3F858D" w:rsidR="002B2174" w:rsidRDefault="002B2174" w:rsidP="002B2174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изучение дополнительных источников по теме «Технологическое предпринимательство» и «Продвижение технологических проектов».</w:t>
            </w:r>
          </w:p>
          <w:p w14:paraId="0ED122C9" w14:textId="1F5F687A" w:rsidR="002B2174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02CE6EA1" w14:textId="4476BD00" w:rsidR="002B2174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Практическая деятельность:</w:t>
            </w:r>
          </w:p>
          <w:p w14:paraId="7BFFD6DE" w14:textId="587B68A4" w:rsidR="00133B34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диагностического инструментария для оценки уровня развития компонент МИ;</w:t>
            </w:r>
          </w:p>
          <w:p w14:paraId="685E0D78" w14:textId="325DEDE0" w:rsidR="002B2174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подготовка практических рекомендаций по внедрению диагностического инструментария в курс по технологическому предпринимательству.</w:t>
            </w:r>
          </w:p>
          <w:p w14:paraId="6DEF5881" w14:textId="116A333F" w:rsidR="00133B34" w:rsidRPr="002B1389" w:rsidRDefault="002B217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Составление отчета/написание статьи</w:t>
            </w:r>
            <w:r w:rsidR="00B40069">
              <w:rPr>
                <w:i/>
                <w:iCs/>
                <w:color w:val="000000" w:themeColor="text1"/>
              </w:rPr>
              <w:t xml:space="preserve"> </w:t>
            </w:r>
            <w:r w:rsidR="00BD12E2">
              <w:rPr>
                <w:i/>
                <w:iCs/>
                <w:color w:val="000000" w:themeColor="text1"/>
              </w:rPr>
              <w:t xml:space="preserve">и визуализация данных в виде презентации/плаката. </w:t>
            </w: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5287C8CF" w:rsidR="00492F0C" w:rsidRPr="002B1389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 </w:t>
            </w:r>
            <w:r w:rsidR="002B2174">
              <w:rPr>
                <w:i/>
                <w:iCs/>
                <w:color w:val="000000" w:themeColor="text1"/>
              </w:rPr>
              <w:t xml:space="preserve">статью/отчет о проделанной работе и </w:t>
            </w:r>
            <w:r w:rsidR="00BD12E2">
              <w:rPr>
                <w:i/>
                <w:iCs/>
                <w:color w:val="000000" w:themeColor="text1"/>
              </w:rPr>
              <w:t>презентаци</w:t>
            </w:r>
            <w:r w:rsidR="002B2174">
              <w:rPr>
                <w:i/>
                <w:iCs/>
                <w:color w:val="000000" w:themeColor="text1"/>
              </w:rPr>
              <w:t>ю.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lastRenderedPageBreak/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43959C95" w14:textId="00DB3D0B" w:rsidR="002B2174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2B2174">
              <w:rPr>
                <w:i/>
                <w:iCs/>
              </w:rPr>
              <w:t>4</w:t>
            </w:r>
            <w:r w:rsidR="00FE2000">
              <w:rPr>
                <w:i/>
                <w:iCs/>
              </w:rPr>
              <w:t xml:space="preserve"> челове</w:t>
            </w:r>
            <w:r w:rsidR="002B2174">
              <w:rPr>
                <w:i/>
                <w:iCs/>
              </w:rPr>
              <w:t xml:space="preserve">ка, между которыми будут распределены зоны ответственности (каждый возьмет по 1-2 компоненты МИ и будет разрабатывать инструментарий именно по своей части). 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3A8CAE35" w14:textId="7E76EB4E" w:rsidR="00436351" w:rsidRPr="005F1B4A" w:rsidRDefault="00FE2000" w:rsidP="00B40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Приветствуется опыт </w:t>
            </w:r>
            <w:r w:rsidR="00B40069">
              <w:rPr>
                <w:i/>
                <w:iCs/>
              </w:rPr>
              <w:t xml:space="preserve">составления </w:t>
            </w:r>
            <w:r w:rsidR="002B2174">
              <w:rPr>
                <w:i/>
                <w:iCs/>
              </w:rPr>
              <w:t>образовательных игр и других форм преподавания</w:t>
            </w:r>
            <w:r w:rsidR="00B4006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проектной </w:t>
            </w:r>
            <w:r w:rsidR="00B40069">
              <w:rPr>
                <w:i/>
                <w:iCs/>
              </w:rPr>
              <w:t>деятельности</w:t>
            </w:r>
            <w:r>
              <w:rPr>
                <w:i/>
                <w:iCs/>
              </w:rPr>
              <w:t xml:space="preserve">, </w:t>
            </w:r>
            <w:r w:rsidR="00B40069">
              <w:rPr>
                <w:i/>
                <w:iCs/>
              </w:rPr>
              <w:t>реализации и работы со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стартап</w:t>
            </w:r>
            <w:r w:rsidR="00B40069">
              <w:rPr>
                <w:i/>
                <w:iCs/>
              </w:rPr>
              <w:t>ами</w:t>
            </w:r>
            <w:proofErr w:type="spellEnd"/>
            <w:r>
              <w:rPr>
                <w:i/>
                <w:iCs/>
              </w:rPr>
              <w:t xml:space="preserve">, </w:t>
            </w:r>
            <w:r w:rsidR="00B40069">
              <w:rPr>
                <w:i/>
                <w:iCs/>
              </w:rPr>
              <w:t xml:space="preserve">знание </w:t>
            </w:r>
            <w:r w:rsidR="002B2174">
              <w:rPr>
                <w:i/>
                <w:iCs/>
              </w:rPr>
              <w:t xml:space="preserve">психологии, </w:t>
            </w:r>
            <w:r w:rsidR="00B40069">
              <w:rPr>
                <w:i/>
                <w:iCs/>
              </w:rPr>
              <w:t>маркетинга и предметов в области предпринимательства.</w:t>
            </w:r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32E196E" w:rsidR="00F17150" w:rsidRPr="002B1389" w:rsidRDefault="002B2174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287136EC" w:rsidR="00F556E1" w:rsidRPr="00EB429E" w:rsidRDefault="00EB429E" w:rsidP="00F556E1">
            <w:pPr>
              <w:jc w:val="both"/>
              <w:rPr>
                <w:i/>
              </w:rPr>
            </w:pPr>
            <w:r>
              <w:rPr>
                <w:i/>
              </w:rPr>
              <w:t xml:space="preserve">Опыт составления аналитических отчетов и обработки массива данных в </w:t>
            </w:r>
            <w:r>
              <w:rPr>
                <w:i/>
                <w:lang w:val="en-US"/>
              </w:rPr>
              <w:t>Excel</w:t>
            </w:r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28612E00" w:rsidR="007A5092" w:rsidRPr="002B1389" w:rsidRDefault="00A044F5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  <w:r w:rsidR="002B2174">
              <w:rPr>
                <w:i/>
                <w:color w:val="000000" w:themeColor="text1"/>
              </w:rPr>
              <w:t>1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9850B3">
              <w:rPr>
                <w:i/>
                <w:color w:val="000000" w:themeColor="text1"/>
                <w:lang w:val="en-US"/>
              </w:rPr>
              <w:t>10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20</w:t>
            </w:r>
            <w:r w:rsidR="00D279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D279E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1</w:t>
            </w:r>
            <w:r w:rsidR="002B2174">
              <w:rPr>
                <w:i/>
                <w:color w:val="000000" w:themeColor="text1"/>
              </w:rPr>
              <w:t>3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2B2174">
              <w:rPr>
                <w:i/>
                <w:color w:val="000000" w:themeColor="text1"/>
              </w:rPr>
              <w:t>1</w:t>
            </w:r>
            <w:r w:rsidR="009850B3">
              <w:rPr>
                <w:i/>
                <w:color w:val="000000" w:themeColor="text1"/>
                <w:lang w:val="en-US"/>
              </w:rPr>
              <w:t>2</w:t>
            </w:r>
            <w:r w:rsidR="00D73142" w:rsidRPr="002B1389">
              <w:rPr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625A7869" w:rsidR="009E2FA7" w:rsidRPr="002B1389" w:rsidRDefault="002B217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42BAD70D" w:rsidR="00F17150" w:rsidRPr="002B1389" w:rsidRDefault="002B217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53040411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5C1CD585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отчетов/статей</w:t>
            </w:r>
            <w:r w:rsidR="00EB429E">
              <w:rPr>
                <w:i/>
                <w:color w:val="000000" w:themeColor="text1"/>
              </w:rPr>
              <w:t xml:space="preserve"> и презентаций студентов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593824E2" w:rsidR="00A47807" w:rsidRPr="002B2174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4DEFBD19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782163">
              <w:rPr>
                <w:i/>
                <w:shd w:val="clear" w:color="auto" w:fill="FFFFFF"/>
              </w:rPr>
              <w:t>Государственное и муниципальное управление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782163">
              <w:rPr>
                <w:i/>
                <w:shd w:val="clear" w:color="auto" w:fill="FFFFFF"/>
              </w:rPr>
              <w:t>Факультет социальных наук)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782163">
              <w:rPr>
                <w:i/>
                <w:shd w:val="clear" w:color="auto" w:fill="FFFFFF"/>
              </w:rPr>
              <w:t>Доказательное развитие образования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782163">
              <w:rPr>
                <w:i/>
                <w:shd w:val="clear" w:color="auto" w:fill="FFFFFF"/>
              </w:rPr>
              <w:t>Управление образованием, Цифровая трансформация образования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782163">
              <w:rPr>
                <w:i/>
                <w:shd w:val="clear" w:color="auto" w:fill="FFFFFF"/>
              </w:rPr>
              <w:t xml:space="preserve">Измерения в психологии и образовании </w:t>
            </w:r>
            <w:r>
              <w:rPr>
                <w:i/>
                <w:shd w:val="clear" w:color="auto" w:fill="FFFFFF"/>
              </w:rPr>
              <w:t>(</w:t>
            </w:r>
            <w:r w:rsidRPr="00782163">
              <w:rPr>
                <w:i/>
                <w:shd w:val="clear" w:color="auto" w:fill="FFFFFF"/>
              </w:rPr>
              <w:t>Институт образования), Психология в бизнесе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782163">
              <w:rPr>
                <w:i/>
                <w:shd w:val="clear" w:color="auto" w:fill="FFFFFF"/>
              </w:rPr>
              <w:t>Факультет социальных наук</w:t>
            </w:r>
            <w:r>
              <w:rPr>
                <w:i/>
                <w:shd w:val="clear" w:color="auto" w:fill="FFFFFF"/>
              </w:rPr>
              <w:t>).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7C2C2EDD" w:rsidR="00F379A0" w:rsidRPr="00EE2FA3" w:rsidRDefault="00782163" w:rsidP="002B1389">
            <w:pPr>
              <w:jc w:val="both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Психология, </w:t>
            </w:r>
            <w:r w:rsidR="00233CF0">
              <w:rPr>
                <w:i/>
                <w:shd w:val="clear" w:color="auto" w:fill="FFFFFF"/>
              </w:rPr>
              <w:t>Экономика и статистика,</w:t>
            </w:r>
            <w:r>
              <w:rPr>
                <w:i/>
                <w:shd w:val="clear" w:color="auto" w:fill="FFFFFF"/>
              </w:rPr>
              <w:t xml:space="preserve"> </w:t>
            </w: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39685E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аналитики, Бизнес-информатика, Социология, </w:t>
            </w:r>
            <w:proofErr w:type="spellStart"/>
            <w:r w:rsidR="00EE2FA3" w:rsidRPr="00EE2FA3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EE2FA3" w:rsidRPr="00EE2FA3">
              <w:rPr>
                <w:i/>
                <w:shd w:val="clear" w:color="auto" w:fill="FFFFFF"/>
              </w:rPr>
              <w:t xml:space="preserve">, Реклама и связи с общественностью, </w:t>
            </w:r>
            <w:r w:rsidR="00D66FC9">
              <w:rPr>
                <w:i/>
                <w:shd w:val="clear" w:color="auto" w:fill="FFFFFF"/>
              </w:rPr>
              <w:t>Все направления факультета бизнеса и менеджмента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4F4CB122" w:rsidR="00F379A0" w:rsidRPr="00D66FC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9685E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F1B4A"/>
    <w:rsid w:val="00611FDD"/>
    <w:rsid w:val="00651228"/>
    <w:rsid w:val="00691CF6"/>
    <w:rsid w:val="00696447"/>
    <w:rsid w:val="006E5DCE"/>
    <w:rsid w:val="00724407"/>
    <w:rsid w:val="00753910"/>
    <w:rsid w:val="00765A7F"/>
    <w:rsid w:val="00767558"/>
    <w:rsid w:val="00772F69"/>
    <w:rsid w:val="00781814"/>
    <w:rsid w:val="00782163"/>
    <w:rsid w:val="00787B0E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50B3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044F5"/>
    <w:rsid w:val="00A47807"/>
    <w:rsid w:val="00A47CFA"/>
    <w:rsid w:val="00A550AE"/>
    <w:rsid w:val="00A746A9"/>
    <w:rsid w:val="00A8419E"/>
    <w:rsid w:val="00A91933"/>
    <w:rsid w:val="00AA1575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C66A5"/>
    <w:rsid w:val="00D267B7"/>
    <w:rsid w:val="00D279ED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E38D-AB9C-47FF-ACD8-6DBFDCCE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Valcha</cp:lastModifiedBy>
  <cp:revision>2</cp:revision>
  <dcterms:created xsi:type="dcterms:W3CDTF">2020-09-18T14:33:00Z</dcterms:created>
  <dcterms:modified xsi:type="dcterms:W3CDTF">2020-09-18T14:33:00Z</dcterms:modified>
</cp:coreProperties>
</file>