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034D746" w:rsidR="00A47807" w:rsidRPr="00A9026A" w:rsidRDefault="00A9026A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Applied</w:t>
            </w:r>
          </w:p>
        </w:tc>
      </w:tr>
      <w:tr w:rsidR="00A47807" w:rsidRPr="00A9026A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06334D09" w:rsidR="00A47807" w:rsidRPr="00F8477B" w:rsidRDefault="00A9026A" w:rsidP="008B458B">
            <w:pPr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Metaprogramme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Skills4Future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791EF303" w:rsidR="00023E4E" w:rsidRPr="00A9026A" w:rsidRDefault="00A9026A" w:rsidP="00295F8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Degree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Office</w:t>
            </w:r>
          </w:p>
        </w:tc>
      </w:tr>
      <w:tr w:rsidR="000A439E" w:rsidRPr="002E0E0F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726F819F" w:rsidR="000A439E" w:rsidRPr="00A9026A" w:rsidRDefault="00A9026A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Olga 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Okulova</w:t>
            </w:r>
            <w:proofErr w:type="spellEnd"/>
            <w:r w:rsidR="00527C98">
              <w:rPr>
                <w:i/>
                <w:color w:val="000000" w:themeColor="text1"/>
                <w:lang w:val="en-US"/>
              </w:rPr>
              <w:t xml:space="preserve">, </w:t>
            </w:r>
            <w:r w:rsidR="00527C98" w:rsidRPr="00527C98">
              <w:rPr>
                <w:i/>
                <w:color w:val="000000" w:themeColor="text1"/>
                <w:lang w:val="en-US"/>
              </w:rPr>
              <w:t xml:space="preserve">Director of the Centre for International Accreditations and Network </w:t>
            </w:r>
            <w:proofErr w:type="spellStart"/>
            <w:r w:rsidR="00527C98" w:rsidRPr="00527C98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  <w:r w:rsidR="00527C98" w:rsidRPr="00527C98">
              <w:rPr>
                <w:i/>
                <w:color w:val="000000" w:themeColor="text1"/>
                <w:lang w:val="en-US"/>
              </w:rPr>
              <w:t xml:space="preserve">, HSE University </w:t>
            </w:r>
            <w:proofErr w:type="spellStart"/>
            <w:r w:rsidR="00527C98" w:rsidRPr="00527C98">
              <w:rPr>
                <w:i/>
                <w:color w:val="000000" w:themeColor="text1"/>
                <w:lang w:val="en-US"/>
              </w:rPr>
              <w:t>St.Petersburg</w:t>
            </w:r>
            <w:proofErr w:type="spellEnd"/>
          </w:p>
        </w:tc>
      </w:tr>
      <w:tr w:rsidR="00A47807" w:rsidRPr="002E0E0F" w14:paraId="03E3786D" w14:textId="77777777" w:rsidTr="00097D02">
        <w:tc>
          <w:tcPr>
            <w:tcW w:w="5353" w:type="dxa"/>
          </w:tcPr>
          <w:p w14:paraId="77318017" w14:textId="6B13287F" w:rsidR="00A47807" w:rsidRPr="00421554" w:rsidRDefault="001019DA" w:rsidP="001019DA">
            <w:r w:rsidRPr="003054F1">
              <w:rPr>
                <w:b/>
                <w:lang w:val="en-US"/>
              </w:rPr>
              <w:t>Project</w:t>
            </w:r>
            <w:r w:rsidRPr="00421554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421554">
              <w:t xml:space="preserve"> /</w:t>
            </w:r>
            <w:r w:rsidR="00D66022" w:rsidRPr="00295F80">
              <w:t>Подробное</w:t>
            </w:r>
            <w:r w:rsidR="00D66022" w:rsidRPr="00421554">
              <w:t xml:space="preserve"> </w:t>
            </w:r>
            <w:r w:rsidR="00D66022" w:rsidRPr="00295F80">
              <w:t>о</w:t>
            </w:r>
            <w:r w:rsidR="00A47807" w:rsidRPr="00295F80">
              <w:t>писание</w:t>
            </w:r>
            <w:r w:rsidR="00A47807" w:rsidRPr="00421554">
              <w:t xml:space="preserve"> </w:t>
            </w:r>
            <w:r w:rsidR="00971EDC" w:rsidRPr="00295F80">
              <w:t>содержания</w:t>
            </w:r>
            <w:r w:rsidR="00971EDC" w:rsidRPr="00421554">
              <w:t xml:space="preserve"> </w:t>
            </w:r>
            <w:r w:rsidR="00A47807" w:rsidRPr="00295F80">
              <w:t>проект</w:t>
            </w:r>
            <w:r w:rsidR="00971EDC" w:rsidRPr="00295F80">
              <w:t>ной</w:t>
            </w:r>
            <w:r w:rsidR="00971EDC" w:rsidRPr="00421554">
              <w:t xml:space="preserve"> </w:t>
            </w:r>
            <w:r w:rsidR="00971EDC" w:rsidRPr="00295F80">
              <w:t>раб</w:t>
            </w:r>
            <w:r w:rsidR="00124E18">
              <w:t>00</w:t>
            </w:r>
            <w:r w:rsidR="00971EDC" w:rsidRPr="00295F80">
              <w:t>оты</w:t>
            </w:r>
            <w:r w:rsidR="00F8477B" w:rsidRPr="00421554">
              <w:t xml:space="preserve"> </w:t>
            </w:r>
          </w:p>
        </w:tc>
        <w:tc>
          <w:tcPr>
            <w:tcW w:w="4212" w:type="dxa"/>
          </w:tcPr>
          <w:p w14:paraId="0B69DF84" w14:textId="77777777" w:rsidR="00A9026A" w:rsidRPr="00A9026A" w:rsidRDefault="00A9026A" w:rsidP="00A9026A">
            <w:pPr>
              <w:rPr>
                <w:i/>
                <w:color w:val="000000" w:themeColor="text1"/>
                <w:lang w:val="en-US"/>
              </w:rPr>
            </w:pPr>
            <w:r w:rsidRPr="00A9026A">
              <w:rPr>
                <w:i/>
                <w:color w:val="000000" w:themeColor="text1"/>
                <w:lang w:val="en-US"/>
              </w:rPr>
              <w:t xml:space="preserve">The students of </w:t>
            </w:r>
            <w:proofErr w:type="spellStart"/>
            <w:r w:rsidRPr="00A9026A"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  <w:r w:rsidRPr="00A9026A">
              <w:rPr>
                <w:i/>
                <w:color w:val="000000" w:themeColor="text1"/>
                <w:lang w:val="en-US"/>
              </w:rPr>
              <w:t xml:space="preserve"> benefit from the learning experience in one of four intellectual laboratories developed by leading professors of HSE St Petersburg. </w:t>
            </w:r>
          </w:p>
          <w:p w14:paraId="77B076DC" w14:textId="115FC8E9" w:rsidR="00A9026A" w:rsidRPr="00A9026A" w:rsidRDefault="00A9026A" w:rsidP="00A9026A">
            <w:pPr>
              <w:tabs>
                <w:tab w:val="left" w:pos="317"/>
              </w:tabs>
              <w:rPr>
                <w:i/>
                <w:color w:val="000000" w:themeColor="text1"/>
                <w:lang w:val="en-US"/>
              </w:rPr>
            </w:pPr>
            <w:r w:rsidRPr="00A9026A">
              <w:rPr>
                <w:i/>
                <w:color w:val="000000" w:themeColor="text1"/>
                <w:lang w:val="en-US"/>
              </w:rPr>
              <w:t>1.</w:t>
            </w:r>
            <w:r w:rsidRPr="00A9026A">
              <w:rPr>
                <w:i/>
                <w:color w:val="000000" w:themeColor="text1"/>
                <w:lang w:val="en-US"/>
              </w:rPr>
              <w:tab/>
              <w:t xml:space="preserve">Social Anthropology </w:t>
            </w:r>
          </w:p>
          <w:p w14:paraId="47CCC0B2" w14:textId="7930E650" w:rsidR="00A9026A" w:rsidRPr="00A9026A" w:rsidRDefault="00A9026A" w:rsidP="00A9026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2.  </w:t>
            </w:r>
            <w:r w:rsidRPr="00A9026A">
              <w:rPr>
                <w:i/>
                <w:color w:val="000000" w:themeColor="text1"/>
                <w:lang w:val="en-US"/>
              </w:rPr>
              <w:t xml:space="preserve">Youth in the City </w:t>
            </w:r>
          </w:p>
          <w:p w14:paraId="1509405D" w14:textId="53E85AF0" w:rsidR="00A9026A" w:rsidRPr="00A9026A" w:rsidRDefault="00A9026A" w:rsidP="00A9026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3.  </w:t>
            </w:r>
            <w:r w:rsidRPr="00A9026A">
              <w:rPr>
                <w:i/>
                <w:color w:val="000000" w:themeColor="text1"/>
                <w:lang w:val="en-US"/>
              </w:rPr>
              <w:t xml:space="preserve">Creative Industries </w:t>
            </w:r>
          </w:p>
          <w:p w14:paraId="7FDB3A1F" w14:textId="045B569B" w:rsidR="00A9026A" w:rsidRPr="00A9026A" w:rsidRDefault="00A9026A" w:rsidP="00A9026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4.  </w:t>
            </w:r>
            <w:r w:rsidRPr="00A9026A">
              <w:rPr>
                <w:i/>
                <w:color w:val="000000" w:themeColor="text1"/>
                <w:lang w:val="en-US"/>
              </w:rPr>
              <w:t xml:space="preserve">The Hipster City is Born. Cultural Production of St. Petersburg in the 2000s </w:t>
            </w:r>
          </w:p>
          <w:p w14:paraId="4448B952" w14:textId="77777777" w:rsidR="00A47807" w:rsidRDefault="00A9026A" w:rsidP="00A9026A">
            <w:pPr>
              <w:rPr>
                <w:i/>
                <w:color w:val="000000" w:themeColor="text1"/>
                <w:lang w:val="en-US"/>
              </w:rPr>
            </w:pPr>
            <w:r w:rsidRPr="00A9026A">
              <w:rPr>
                <w:i/>
                <w:color w:val="000000" w:themeColor="text1"/>
                <w:lang w:val="en-US"/>
              </w:rPr>
              <w:t xml:space="preserve">The </w:t>
            </w:r>
            <w:proofErr w:type="spellStart"/>
            <w:r w:rsidRPr="00A9026A"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  <w:r w:rsidRPr="00A9026A">
              <w:rPr>
                <w:i/>
                <w:color w:val="000000" w:themeColor="text1"/>
                <w:lang w:val="en-US"/>
              </w:rPr>
              <w:t xml:space="preserve"> </w:t>
            </w:r>
            <w:proofErr w:type="gramStart"/>
            <w:r w:rsidRPr="00A9026A">
              <w:rPr>
                <w:i/>
                <w:color w:val="000000" w:themeColor="text1"/>
                <w:lang w:val="en-US"/>
              </w:rPr>
              <w:t>is designed</w:t>
            </w:r>
            <w:proofErr w:type="gramEnd"/>
            <w:r w:rsidRPr="00A9026A">
              <w:rPr>
                <w:i/>
                <w:color w:val="000000" w:themeColor="text1"/>
                <w:lang w:val="en-US"/>
              </w:rPr>
              <w:t xml:space="preserve"> to provide a lot of communication and activities: guest lectures, master classes, case study and problem solving. The students will work of a particular problem or problems suggested by the Intellectual Lab to work out the solutions or a suggestion within each group. The topics include, but are not limited to social implications of COVID-19, cultural production, development of festivals or civil engagement of the youth.</w:t>
            </w:r>
          </w:p>
          <w:p w14:paraId="17D3B08D" w14:textId="716E31C2" w:rsidR="006644E1" w:rsidRPr="00A867A0" w:rsidRDefault="006644E1" w:rsidP="006644E1">
            <w:pPr>
              <w:tabs>
                <w:tab w:val="left" w:pos="317"/>
              </w:tabs>
              <w:rPr>
                <w:i/>
                <w:color w:val="000000" w:themeColor="text1"/>
                <w:lang w:val="en-US"/>
              </w:rPr>
            </w:pPr>
            <w:r w:rsidRPr="002E0E0F">
              <w:rPr>
                <w:i/>
                <w:color w:val="000000" w:themeColor="text1"/>
                <w:lang w:val="en-US"/>
              </w:rPr>
              <w:t xml:space="preserve">For students, who will chose to participate in </w:t>
            </w:r>
            <w:r w:rsidR="00A867A0" w:rsidRPr="002E0E0F">
              <w:rPr>
                <w:i/>
                <w:color w:val="000000" w:themeColor="text1"/>
                <w:lang w:val="en-US"/>
              </w:rPr>
              <w:t>such intellectual labs as</w:t>
            </w:r>
            <w:r w:rsidRPr="002E0E0F">
              <w:rPr>
                <w:i/>
                <w:color w:val="000000" w:themeColor="text1"/>
                <w:lang w:val="en-US"/>
              </w:rPr>
              <w:t>: Social Anthropology, Youth in the City the preliminary work will be launched</w:t>
            </w:r>
            <w:r w:rsidR="00A867A0" w:rsidRPr="002E0E0F">
              <w:rPr>
                <w:i/>
                <w:color w:val="000000" w:themeColor="text1"/>
                <w:lang w:val="en-US"/>
              </w:rPr>
              <w:t xml:space="preserve"> o</w:t>
            </w:r>
            <w:r w:rsidRPr="002E0E0F">
              <w:rPr>
                <w:i/>
                <w:color w:val="000000" w:themeColor="text1"/>
                <w:lang w:val="en-US"/>
              </w:rPr>
              <w:t>n 22 October</w:t>
            </w:r>
            <w:r w:rsidR="00A867A0" w:rsidRPr="002E0E0F">
              <w:rPr>
                <w:i/>
                <w:color w:val="000000" w:themeColor="text1"/>
                <w:lang w:val="en-US"/>
              </w:rPr>
              <w:t xml:space="preserve"> 20</w:t>
            </w:r>
            <w:bookmarkStart w:id="0" w:name="_GoBack"/>
            <w:bookmarkEnd w:id="0"/>
            <w:r w:rsidR="00A867A0" w:rsidRPr="002E0E0F">
              <w:rPr>
                <w:i/>
                <w:color w:val="000000" w:themeColor="text1"/>
                <w:lang w:val="en-US"/>
              </w:rPr>
              <w:t>20</w:t>
            </w:r>
            <w:r w:rsidRPr="002E0E0F">
              <w:rPr>
                <w:i/>
                <w:color w:val="000000" w:themeColor="text1"/>
                <w:lang w:val="en-US"/>
              </w:rPr>
              <w:t xml:space="preserve">, </w:t>
            </w:r>
            <w:r w:rsidR="00A867A0" w:rsidRPr="002E0E0F">
              <w:rPr>
                <w:i/>
                <w:color w:val="000000" w:themeColor="text1"/>
                <w:lang w:val="en-US"/>
              </w:rPr>
              <w:t xml:space="preserve">and </w:t>
            </w:r>
            <w:r w:rsidRPr="002E0E0F">
              <w:rPr>
                <w:i/>
                <w:color w:val="000000" w:themeColor="text1"/>
                <w:lang w:val="en-US"/>
              </w:rPr>
              <w:t>for other intellectual labs</w:t>
            </w:r>
            <w:r w:rsidR="00A867A0" w:rsidRPr="002E0E0F">
              <w:rPr>
                <w:i/>
                <w:color w:val="000000" w:themeColor="text1"/>
                <w:lang w:val="en-US"/>
              </w:rPr>
              <w:t xml:space="preserve"> the work will be started on 5th </w:t>
            </w:r>
            <w:proofErr w:type="gramStart"/>
            <w:r w:rsidR="00A867A0" w:rsidRPr="002E0E0F">
              <w:rPr>
                <w:i/>
                <w:color w:val="000000" w:themeColor="text1"/>
                <w:lang w:val="en-US"/>
              </w:rPr>
              <w:t>November.</w:t>
            </w:r>
            <w:proofErr w:type="gramEnd"/>
          </w:p>
          <w:p w14:paraId="410BFC86" w14:textId="7CEFFB42" w:rsidR="00124E18" w:rsidRPr="006644E1" w:rsidRDefault="00124E18" w:rsidP="00A9026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A47807" w:rsidRPr="002E0E0F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5995A9C9" w:rsidR="00A47807" w:rsidRPr="00A9026A" w:rsidRDefault="00A9026A">
            <w:pPr>
              <w:rPr>
                <w:i/>
                <w:color w:val="000000" w:themeColor="text1"/>
                <w:lang w:val="en-US"/>
              </w:rPr>
            </w:pPr>
            <w:r w:rsidRPr="00A9026A">
              <w:rPr>
                <w:i/>
                <w:color w:val="000000" w:themeColor="text1"/>
                <w:lang w:val="en-US"/>
              </w:rPr>
              <w:t xml:space="preserve">The </w:t>
            </w:r>
            <w:proofErr w:type="spellStart"/>
            <w:r w:rsidRPr="00A9026A"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  <w:r w:rsidRPr="00A9026A">
              <w:rPr>
                <w:i/>
                <w:color w:val="000000" w:themeColor="text1"/>
                <w:lang w:val="en-US"/>
              </w:rPr>
              <w:t xml:space="preserve"> </w:t>
            </w:r>
            <w:proofErr w:type="gramStart"/>
            <w:r w:rsidRPr="00A9026A">
              <w:rPr>
                <w:i/>
                <w:color w:val="000000" w:themeColor="text1"/>
                <w:lang w:val="en-US"/>
              </w:rPr>
              <w:t>is aimed</w:t>
            </w:r>
            <w:proofErr w:type="gramEnd"/>
            <w:r w:rsidRPr="00A9026A">
              <w:rPr>
                <w:i/>
                <w:color w:val="000000" w:themeColor="text1"/>
                <w:lang w:val="en-US"/>
              </w:rPr>
              <w:t xml:space="preserve"> at development of a broader set of human skills and more precisely on the 4C-s of the 21st century: collaboration, communication, creativity, critical thinking.</w:t>
            </w:r>
          </w:p>
        </w:tc>
      </w:tr>
      <w:tr w:rsidR="00A47807" w:rsidRPr="002E0E0F" w14:paraId="0D6CEAC8" w14:textId="77777777" w:rsidTr="00097D02">
        <w:tc>
          <w:tcPr>
            <w:tcW w:w="5353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524BCD5" w14:textId="27153DBA" w:rsidR="00527C98" w:rsidRPr="00527C98" w:rsidRDefault="00527C98">
            <w:pPr>
              <w:rPr>
                <w:i/>
                <w:color w:val="000000" w:themeColor="text1"/>
                <w:lang w:val="en-US"/>
              </w:rPr>
            </w:pPr>
            <w:r w:rsidRPr="00527C98">
              <w:rPr>
                <w:i/>
                <w:color w:val="000000" w:themeColor="text1"/>
                <w:lang w:val="en-US"/>
              </w:rPr>
              <w:t xml:space="preserve">Each student of the Intellectual Labs will participate in the guest lectures and master classes as well as contribute </w:t>
            </w:r>
            <w:r w:rsidRPr="00527C98">
              <w:rPr>
                <w:i/>
                <w:color w:val="000000" w:themeColor="text1"/>
                <w:lang w:val="en-US"/>
              </w:rPr>
              <w:lastRenderedPageBreak/>
              <w:t xml:space="preserve">to the case study and develop the solutions. The students will work of a particular problem posed by the Intellectual Lab to work out the solutions within each group. The optimal solutions </w:t>
            </w:r>
            <w:proofErr w:type="gramStart"/>
            <w:r w:rsidRPr="00527C98">
              <w:rPr>
                <w:i/>
                <w:color w:val="000000" w:themeColor="text1"/>
                <w:lang w:val="en-US"/>
              </w:rPr>
              <w:t>will be discussed within the Lab Presentations and offered to the Final Presentation Session</w:t>
            </w:r>
            <w:proofErr w:type="gramEnd"/>
            <w:r w:rsidRPr="00527C98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91CF6" w:rsidRPr="00A9026A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5905883F" w:rsidR="00691CF6" w:rsidRPr="00115F41" w:rsidRDefault="00124E18" w:rsidP="00124E1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05</w:t>
            </w:r>
            <w:r w:rsidR="00527C98">
              <w:rPr>
                <w:i/>
                <w:color w:val="000000" w:themeColor="text1"/>
                <w:lang w:val="en-US"/>
              </w:rPr>
              <w:t xml:space="preserve"> – 18 November 2020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5EFD67D5" w:rsidR="00F379A0" w:rsidRPr="00527C98" w:rsidRDefault="00527C9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2 </w:t>
            </w:r>
            <w:r w:rsidRPr="00527C98">
              <w:rPr>
                <w:i/>
                <w:color w:val="000000" w:themeColor="text1"/>
                <w:lang w:val="en-US"/>
              </w:rPr>
              <w:t>ECTS</w:t>
            </w:r>
          </w:p>
        </w:tc>
      </w:tr>
      <w:tr w:rsidR="00032C8B" w:rsidRPr="00A9026A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5A37BF45" w:rsidR="00032C8B" w:rsidRPr="00527C98" w:rsidRDefault="00527C98">
            <w:pPr>
              <w:rPr>
                <w:i/>
                <w:color w:val="000000" w:themeColor="text1"/>
                <w:lang w:val="en-US"/>
              </w:rPr>
            </w:pPr>
            <w:r w:rsidRPr="00527C98">
              <w:rPr>
                <w:i/>
                <w:color w:val="000000" w:themeColor="text1"/>
                <w:lang w:val="en-US"/>
              </w:rPr>
              <w:t>Test</w:t>
            </w:r>
          </w:p>
        </w:tc>
      </w:tr>
      <w:tr w:rsidR="00F379A0" w:rsidRPr="002E0E0F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7F966969" w:rsidR="00F379A0" w:rsidRPr="00527C98" w:rsidRDefault="00527C98" w:rsidP="00527C98">
            <w:pPr>
              <w:rPr>
                <w:i/>
                <w:color w:val="000000" w:themeColor="text1"/>
                <w:lang w:val="en-US"/>
              </w:rPr>
            </w:pPr>
            <w:r w:rsidRPr="00527C98">
              <w:rPr>
                <w:i/>
                <w:color w:val="000000" w:themeColor="text1"/>
                <w:lang w:val="en-US"/>
              </w:rPr>
              <w:t xml:space="preserve">The Skills4Future </w:t>
            </w:r>
            <w:proofErr w:type="spellStart"/>
            <w:r w:rsidRPr="00527C98">
              <w:rPr>
                <w:i/>
                <w:color w:val="000000" w:themeColor="text1"/>
                <w:lang w:val="en-US"/>
              </w:rPr>
              <w:t>metaprogramme</w:t>
            </w:r>
            <w:proofErr w:type="spellEnd"/>
            <w:r w:rsidRPr="00527C98">
              <w:rPr>
                <w:i/>
                <w:color w:val="000000" w:themeColor="text1"/>
                <w:lang w:val="en-US"/>
              </w:rPr>
              <w:t xml:space="preserve"> </w:t>
            </w:r>
            <w:proofErr w:type="gramStart"/>
            <w:r w:rsidRPr="00527C98">
              <w:rPr>
                <w:i/>
                <w:color w:val="000000" w:themeColor="text1"/>
                <w:lang w:val="en-US"/>
              </w:rPr>
              <w:t>is designed</w:t>
            </w:r>
            <w:proofErr w:type="gramEnd"/>
            <w:r w:rsidRPr="00527C98">
              <w:rPr>
                <w:i/>
                <w:color w:val="000000" w:themeColor="text1"/>
                <w:lang w:val="en-US"/>
              </w:rPr>
              <w:t xml:space="preserve"> for the 2nd and 3rd year Bachelor students. A student of any Bachelor </w:t>
            </w:r>
            <w:proofErr w:type="spellStart"/>
            <w:r w:rsidRPr="00527C98"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  <w:r w:rsidRPr="00527C98">
              <w:rPr>
                <w:i/>
                <w:color w:val="000000" w:themeColor="text1"/>
                <w:lang w:val="en-US"/>
              </w:rPr>
              <w:t xml:space="preserve"> at HSE St Petersburg can apply for Skills4Future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971EDC" w:rsidRPr="002E0E0F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4CDCFA45" w14:textId="0969887E" w:rsidR="00527C98" w:rsidRPr="007849CB" w:rsidRDefault="00527C98" w:rsidP="007849CB">
            <w:pPr>
              <w:pStyle w:val="a4"/>
              <w:numPr>
                <w:ilvl w:val="0"/>
                <w:numId w:val="4"/>
              </w:numPr>
              <w:ind w:left="176" w:hanging="142"/>
              <w:rPr>
                <w:i/>
                <w:color w:val="000000" w:themeColor="text1"/>
                <w:lang w:val="en-US"/>
              </w:rPr>
            </w:pPr>
            <w:r w:rsidRPr="007849CB">
              <w:rPr>
                <w:i/>
                <w:color w:val="000000" w:themeColor="text1"/>
                <w:lang w:val="en-US"/>
              </w:rPr>
              <w:t>Students are able to resolve a conflict and to cooperate with group members and take advantage of a group decision as an effe</w:t>
            </w:r>
            <w:r w:rsidR="007849CB" w:rsidRPr="007849CB">
              <w:rPr>
                <w:i/>
                <w:color w:val="000000" w:themeColor="text1"/>
                <w:lang w:val="en-US"/>
              </w:rPr>
              <w:t>ctive problem-solving activity.</w:t>
            </w:r>
          </w:p>
          <w:p w14:paraId="74C6D750" w14:textId="30DCD176" w:rsidR="00527C98" w:rsidRPr="007849CB" w:rsidRDefault="00527C98" w:rsidP="007849CB">
            <w:pPr>
              <w:pStyle w:val="a4"/>
              <w:numPr>
                <w:ilvl w:val="0"/>
                <w:numId w:val="4"/>
              </w:numPr>
              <w:ind w:left="176" w:hanging="142"/>
              <w:rPr>
                <w:i/>
                <w:color w:val="000000" w:themeColor="text1"/>
                <w:lang w:val="en-US"/>
              </w:rPr>
            </w:pPr>
            <w:r w:rsidRPr="007849CB">
              <w:rPr>
                <w:i/>
                <w:color w:val="000000" w:themeColor="text1"/>
                <w:lang w:val="en-US"/>
              </w:rPr>
              <w:t xml:space="preserve">Students are able to communicate in impactful ways and to find a well-suited communication channel in varied social, business and </w:t>
            </w:r>
            <w:r w:rsidR="007849CB" w:rsidRPr="007849CB">
              <w:rPr>
                <w:i/>
                <w:color w:val="000000" w:themeColor="text1"/>
                <w:lang w:val="en-US"/>
              </w:rPr>
              <w:t>economic cases and environment.</w:t>
            </w:r>
          </w:p>
          <w:p w14:paraId="0AEC848F" w14:textId="7E8EA25A" w:rsidR="00527C98" w:rsidRPr="007849CB" w:rsidRDefault="00527C98" w:rsidP="007849CB">
            <w:pPr>
              <w:pStyle w:val="a4"/>
              <w:numPr>
                <w:ilvl w:val="0"/>
                <w:numId w:val="4"/>
              </w:numPr>
              <w:ind w:left="176" w:hanging="142"/>
              <w:rPr>
                <w:i/>
                <w:color w:val="000000" w:themeColor="text1"/>
                <w:lang w:val="en-US"/>
              </w:rPr>
            </w:pPr>
            <w:r w:rsidRPr="007849CB">
              <w:rPr>
                <w:i/>
                <w:color w:val="000000" w:themeColor="text1"/>
                <w:lang w:val="en-US"/>
              </w:rPr>
              <w:t xml:space="preserve">Students are able to develop available tools and methods and to apply </w:t>
            </w:r>
            <w:proofErr w:type="gramStart"/>
            <w:r w:rsidRPr="007849CB">
              <w:rPr>
                <w:i/>
                <w:color w:val="000000" w:themeColor="text1"/>
                <w:lang w:val="en-US"/>
              </w:rPr>
              <w:t>them for certain</w:t>
            </w:r>
            <w:proofErr w:type="gramEnd"/>
            <w:r w:rsidRPr="007849CB">
              <w:rPr>
                <w:i/>
                <w:color w:val="000000" w:themeColor="text1"/>
                <w:lang w:val="en-US"/>
              </w:rPr>
              <w:t xml:space="preserve"> cases and challenges. Students can improve projects and concepts by the force of innovative idea</w:t>
            </w:r>
            <w:r w:rsidR="007849CB" w:rsidRPr="007849CB">
              <w:rPr>
                <w:i/>
                <w:color w:val="000000" w:themeColor="text1"/>
                <w:lang w:val="en-US"/>
              </w:rPr>
              <w:t>s and trend-setting intentions.</w:t>
            </w:r>
          </w:p>
          <w:p w14:paraId="2FC20597" w14:textId="5881AFB2" w:rsidR="00971EDC" w:rsidRPr="007849CB" w:rsidRDefault="00527C98" w:rsidP="007849CB">
            <w:pPr>
              <w:pStyle w:val="a4"/>
              <w:numPr>
                <w:ilvl w:val="0"/>
                <w:numId w:val="4"/>
              </w:numPr>
              <w:ind w:left="176" w:hanging="142"/>
              <w:rPr>
                <w:i/>
                <w:color w:val="000000" w:themeColor="text1"/>
                <w:lang w:val="en-US"/>
              </w:rPr>
            </w:pPr>
            <w:r w:rsidRPr="007849CB">
              <w:rPr>
                <w:i/>
                <w:color w:val="000000" w:themeColor="text1"/>
                <w:lang w:val="en-US"/>
              </w:rPr>
              <w:t>Students are able to analyze social, business and economic cases through various perspectives and to come to independent decisions based on comprehensive review</w:t>
            </w:r>
          </w:p>
        </w:tc>
      </w:tr>
      <w:tr w:rsidR="00A47807" w:rsidRPr="002E0E0F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22782C1F" w:rsidR="00A47807" w:rsidRPr="00527C98" w:rsidRDefault="00527C98" w:rsidP="00AD4D49">
            <w:pPr>
              <w:rPr>
                <w:i/>
                <w:color w:val="000000" w:themeColor="text1"/>
                <w:lang w:val="en-US"/>
              </w:rPr>
            </w:pPr>
            <w:r w:rsidRPr="00527C98">
              <w:rPr>
                <w:i/>
                <w:color w:val="000000" w:themeColor="text1"/>
                <w:lang w:val="en-US"/>
              </w:rPr>
              <w:t>The assessment consists of two parts: peer-assessment and the assessment of the Lab Tutors. The assessment criteria will be made available to the participants of each Intellectual Lab.</w:t>
            </w:r>
          </w:p>
        </w:tc>
      </w:tr>
      <w:tr w:rsidR="00971EDC" w:rsidRPr="002E0E0F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53673ECB" w14:textId="15A6E6E4" w:rsidR="00971EDC" w:rsidRPr="00527C98" w:rsidRDefault="00527C98" w:rsidP="00421554">
            <w:pPr>
              <w:rPr>
                <w:i/>
                <w:color w:val="000000" w:themeColor="text1"/>
                <w:lang w:val="en-US"/>
              </w:rPr>
            </w:pPr>
            <w:r w:rsidRPr="00527C98">
              <w:rPr>
                <w:i/>
                <w:color w:val="000000" w:themeColor="text1"/>
                <w:lang w:val="en-US"/>
              </w:rPr>
              <w:t xml:space="preserve">Final grade = Peer review (50%) + </w:t>
            </w:r>
            <w:r w:rsidR="00421554">
              <w:rPr>
                <w:i/>
                <w:color w:val="000000" w:themeColor="text1"/>
                <w:lang w:val="en-US"/>
              </w:rPr>
              <w:t>Academic Mentor</w:t>
            </w:r>
            <w:r w:rsidR="007849CB">
              <w:rPr>
                <w:i/>
                <w:color w:val="000000" w:themeColor="text1"/>
                <w:lang w:val="en-US"/>
              </w:rPr>
              <w:t xml:space="preserve"> Assessment (50%)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7C1E5279" w:rsidR="00A47807" w:rsidRPr="00AB3AF1" w:rsidRDefault="00AB3AF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140</w:t>
            </w:r>
          </w:p>
        </w:tc>
      </w:tr>
      <w:tr w:rsidR="00A47807" w:rsidRPr="002E0E0F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lastRenderedPageBreak/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4E343352" w:rsidR="00A47807" w:rsidRPr="00FC4117" w:rsidRDefault="007849CB" w:rsidP="007849CB">
            <w:pPr>
              <w:rPr>
                <w:i/>
                <w:color w:val="000000" w:themeColor="text1"/>
                <w:lang w:val="en-US"/>
              </w:rPr>
            </w:pPr>
            <w:r w:rsidRPr="007849CB">
              <w:rPr>
                <w:i/>
                <w:color w:val="000000" w:themeColor="text1"/>
                <w:lang w:val="en-US"/>
              </w:rPr>
              <w:lastRenderedPageBreak/>
              <w:t xml:space="preserve">The students are accepted based on first </w:t>
            </w:r>
            <w:r w:rsidRPr="007849CB">
              <w:rPr>
                <w:i/>
                <w:color w:val="000000" w:themeColor="text1"/>
                <w:lang w:val="en-US"/>
              </w:rPr>
              <w:lastRenderedPageBreak/>
              <w:t xml:space="preserve">come-first serve </w:t>
            </w:r>
            <w:proofErr w:type="spellStart"/>
            <w:r w:rsidRPr="007849CB">
              <w:rPr>
                <w:i/>
                <w:color w:val="000000" w:themeColor="text1"/>
                <w:lang w:val="en-US"/>
              </w:rPr>
              <w:t>basis</w:t>
            </w:r>
            <w:proofErr w:type="gramStart"/>
            <w:r w:rsidRPr="007849CB">
              <w:rPr>
                <w:i/>
                <w:color w:val="000000" w:themeColor="text1"/>
                <w:lang w:val="en-US"/>
              </w:rPr>
              <w:t>,</w:t>
            </w:r>
            <w:r>
              <w:rPr>
                <w:i/>
                <w:color w:val="000000" w:themeColor="text1"/>
                <w:lang w:val="en-US"/>
              </w:rPr>
              <w:t>for</w:t>
            </w:r>
            <w:proofErr w:type="spellEnd"/>
            <w:proofErr w:type="gramEnd"/>
            <w:r>
              <w:rPr>
                <w:i/>
                <w:color w:val="000000" w:themeColor="text1"/>
                <w:lang w:val="en-US"/>
              </w:rPr>
              <w:t xml:space="preserve"> these reason they should</w:t>
            </w:r>
            <w:r w:rsidRPr="007849CB">
              <w:rPr>
                <w:i/>
                <w:color w:val="000000" w:themeColor="text1"/>
                <w:lang w:val="en-US"/>
              </w:rPr>
              <w:t xml:space="preserve"> indicate </w:t>
            </w:r>
            <w:r>
              <w:rPr>
                <w:i/>
                <w:color w:val="000000" w:themeColor="text1"/>
                <w:lang w:val="en-US"/>
              </w:rPr>
              <w:t>their</w:t>
            </w:r>
            <w:r w:rsidRPr="007849CB">
              <w:rPr>
                <w:i/>
                <w:color w:val="000000" w:themeColor="text1"/>
                <w:lang w:val="en-US"/>
              </w:rPr>
              <w:t xml:space="preserve"> first and second priority for the Lab choice.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lastRenderedPageBreak/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0794D50F" w:rsidR="00F379A0" w:rsidRPr="007849CB" w:rsidRDefault="007849CB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All Bachelor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267F7FEC" w:rsidR="00F379A0" w:rsidRPr="007849CB" w:rsidRDefault="007849CB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Online (Zoom)</w:t>
            </w:r>
          </w:p>
        </w:tc>
      </w:tr>
    </w:tbl>
    <w:p w14:paraId="4D277C6A" w14:textId="77777777" w:rsidR="00691CF6" w:rsidRDefault="00691CF6"/>
    <w:p w14:paraId="65333D33" w14:textId="40F74118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6CBE"/>
    <w:multiLevelType w:val="hybridMultilevel"/>
    <w:tmpl w:val="FD6E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24E18"/>
    <w:rsid w:val="001D79C2"/>
    <w:rsid w:val="00231EA4"/>
    <w:rsid w:val="00262B76"/>
    <w:rsid w:val="00295F80"/>
    <w:rsid w:val="002D4B0B"/>
    <w:rsid w:val="002E0E0F"/>
    <w:rsid w:val="003054F1"/>
    <w:rsid w:val="003343DB"/>
    <w:rsid w:val="003D53CE"/>
    <w:rsid w:val="003E3254"/>
    <w:rsid w:val="00400C0B"/>
    <w:rsid w:val="00421554"/>
    <w:rsid w:val="004678F7"/>
    <w:rsid w:val="004C1D36"/>
    <w:rsid w:val="004E11DE"/>
    <w:rsid w:val="004E12FA"/>
    <w:rsid w:val="004E3F32"/>
    <w:rsid w:val="005106AC"/>
    <w:rsid w:val="00527C98"/>
    <w:rsid w:val="005A6059"/>
    <w:rsid w:val="005E13DA"/>
    <w:rsid w:val="005E3B03"/>
    <w:rsid w:val="00611FDD"/>
    <w:rsid w:val="006644E1"/>
    <w:rsid w:val="00691CF6"/>
    <w:rsid w:val="00772F69"/>
    <w:rsid w:val="007849CB"/>
    <w:rsid w:val="0082311B"/>
    <w:rsid w:val="00834E3D"/>
    <w:rsid w:val="00857754"/>
    <w:rsid w:val="008B458B"/>
    <w:rsid w:val="00952E61"/>
    <w:rsid w:val="00963578"/>
    <w:rsid w:val="00971EDC"/>
    <w:rsid w:val="00990D2A"/>
    <w:rsid w:val="009A3754"/>
    <w:rsid w:val="00A013F2"/>
    <w:rsid w:val="00A47807"/>
    <w:rsid w:val="00A550AE"/>
    <w:rsid w:val="00A867A0"/>
    <w:rsid w:val="00A9026A"/>
    <w:rsid w:val="00AB3AF1"/>
    <w:rsid w:val="00AD4D49"/>
    <w:rsid w:val="00AD5C4C"/>
    <w:rsid w:val="00AE637F"/>
    <w:rsid w:val="00B47552"/>
    <w:rsid w:val="00C86CA2"/>
    <w:rsid w:val="00D448DA"/>
    <w:rsid w:val="00D66022"/>
    <w:rsid w:val="00F17335"/>
    <w:rsid w:val="00F379A0"/>
    <w:rsid w:val="00F50313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912EB95-358F-4A3B-8A5F-363BBD1F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836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2276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21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8574">
                                                          <w:marLeft w:val="0"/>
                                                          <w:marRight w:val="0"/>
                                                          <w:marTop w:val="192"/>
                                                          <w:marBottom w:val="0"/>
                                                          <w:divBdr>
                                                            <w:top w:val="dotted" w:sz="6" w:space="0" w:color="665544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05228">
                                                              <w:marLeft w:val="0"/>
                                                              <w:marRight w:val="0"/>
                                                              <w:marTop w:val="1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Юзбекова Карина Шамильевна</cp:lastModifiedBy>
  <cp:revision>2</cp:revision>
  <dcterms:created xsi:type="dcterms:W3CDTF">2020-10-07T10:49:00Z</dcterms:created>
  <dcterms:modified xsi:type="dcterms:W3CDTF">2020-10-07T10:49:00Z</dcterms:modified>
</cp:coreProperties>
</file>