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12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44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Исследовательский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Современная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дипломатия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Новые способы продвижения внешнеполитических интересов государства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Красняк Ольга Александровна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>
        <w:tblPrEx>
          <w:shd w:val="clear" w:color="auto" w:fill="ced7e7"/>
        </w:tblPrEx>
        <w:trPr>
          <w:trHeight w:val="66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 современном этапе государства используют различные инструменты для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продвижения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своих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национальных интересов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Несмотря на то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традиционная дипломатия продолжает оставаться основным инструментом внешнеполитических ведомств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однако относительно новые механизмы дипломатии становятся не менее востребованными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Феномен культурной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научной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спортивной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цифровой и других видов дипломатий в фокусе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 основании анализа официальных источников информации и академической литературы по заданной проблематике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студент готовит аналитическую записку о фактическом использовании различных видов дипломатий для достижения внешнеполитических интересов государства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формировать у студентов основные понятия о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современных видах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дипломати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наглядно продемонстрировать исторические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современные кейсы и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оценить их эффективность с точки зрения достижения внешнеполитических целей государства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предположить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каких современных областях международных отношений использование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различных видов </w:t>
            </w:r>
            <w:r>
              <w:rPr>
                <w:rFonts w:ascii="Times New Roman" w:hAnsi="Times New Roman" w:hint="default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дипломатии обоснованно и необходимо</w:t>
            </w:r>
            <w:r>
              <w:rPr>
                <w:rFonts w:ascii="Times New Roman" w:hAnsi="Times New Roman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Интерес к дипломатии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и внешней политики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  <w:lang w:val="ru-RU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Работоспособность и ответственность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Advanced level of English.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Обзор источников и п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одготовка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научно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библиографического обзора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Подготовка аналитической записки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Предпочтение будет отдано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студентам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чьи исследовательские интересы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научные работы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связаны с внешней политикой и дипломатией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апреля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 –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>25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 xml:space="preserve"> июня 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u w:color="ff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u w:color="ff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Аналитическая записка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аналитических навыков и навыков работы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Уровень работы участника проекта с официальными источниками и академической литературой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Поиск релевантной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обзор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Оформление аналитических материалов в соответствии с требованиями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u w:color="ff0000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Малая Ордынка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17/1 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