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3D2A23" w:rsidRDefault="00971EDC" w:rsidP="003B611F">
      <w:pPr>
        <w:ind w:firstLine="708"/>
        <w:jc w:val="center"/>
        <w:rPr>
          <w:rFonts w:ascii="Times New Roman" w:hAnsi="Times New Roman" w:cs="Times New Roman"/>
          <w:b/>
        </w:rPr>
      </w:pPr>
      <w:r w:rsidRPr="003D2A23">
        <w:rPr>
          <w:rFonts w:ascii="Times New Roman" w:hAnsi="Times New Roman" w:cs="Times New Roman"/>
          <w:b/>
        </w:rPr>
        <w:t>Проектн</w:t>
      </w:r>
      <w:r w:rsidR="00834E3D" w:rsidRPr="003D2A23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3D2A23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5071"/>
      </w:tblGrid>
      <w:tr w:rsidR="00A47807" w:rsidRPr="003D2A23" w14:paraId="06A0CA58" w14:textId="77777777" w:rsidTr="00AE13E1">
        <w:tc>
          <w:tcPr>
            <w:tcW w:w="4268" w:type="dxa"/>
          </w:tcPr>
          <w:p w14:paraId="258F7586" w14:textId="77777777" w:rsidR="00A47807" w:rsidRPr="003D2A2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71" w:type="dxa"/>
          </w:tcPr>
          <w:p w14:paraId="0B9C4F74" w14:textId="78129706" w:rsidR="00A47807" w:rsidRPr="003D2A23" w:rsidRDefault="00000E8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3D2A23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</w:t>
            </w:r>
            <w:r w:rsidR="006E2633" w:rsidRPr="003D2A23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</w:p>
        </w:tc>
      </w:tr>
      <w:tr w:rsidR="00A47807" w:rsidRPr="003D2A23" w14:paraId="2221CB5A" w14:textId="77777777" w:rsidTr="00AE13E1">
        <w:tc>
          <w:tcPr>
            <w:tcW w:w="4268" w:type="dxa"/>
          </w:tcPr>
          <w:p w14:paraId="617F4418" w14:textId="77777777" w:rsidR="00A47807" w:rsidRPr="003D2A2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71" w:type="dxa"/>
          </w:tcPr>
          <w:p w14:paraId="6A643A69" w14:textId="06266B07" w:rsidR="00A47807" w:rsidRPr="003D2A23" w:rsidRDefault="00113A42" w:rsidP="0024200C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Библейская к</w:t>
            </w:r>
            <w:r w:rsidR="00D41BE8" w:rsidRPr="003D2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нига Бытия (древнееврейский язык)</w:t>
            </w:r>
          </w:p>
        </w:tc>
      </w:tr>
      <w:tr w:rsidR="00023E4E" w:rsidRPr="003D2A23" w14:paraId="257A433B" w14:textId="77777777" w:rsidTr="00AE13E1">
        <w:tc>
          <w:tcPr>
            <w:tcW w:w="4268" w:type="dxa"/>
          </w:tcPr>
          <w:p w14:paraId="0583032E" w14:textId="77777777" w:rsidR="00023E4E" w:rsidRPr="003D2A2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1" w:type="dxa"/>
          </w:tcPr>
          <w:p w14:paraId="0E1DBA21" w14:textId="4B61A426" w:rsidR="00023E4E" w:rsidRPr="003D2A23" w:rsidRDefault="006E26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ИКВИА</w:t>
            </w:r>
          </w:p>
        </w:tc>
      </w:tr>
      <w:tr w:rsidR="000A439E" w:rsidRPr="003D2A23" w14:paraId="5DC778C2" w14:textId="77777777" w:rsidTr="00AE13E1">
        <w:tc>
          <w:tcPr>
            <w:tcW w:w="4268" w:type="dxa"/>
          </w:tcPr>
          <w:p w14:paraId="5E71ED99" w14:textId="77777777" w:rsidR="000A439E" w:rsidRPr="003D2A2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1" w:type="dxa"/>
          </w:tcPr>
          <w:p w14:paraId="53B4E524" w14:textId="71ED4B89" w:rsidR="000A439E" w:rsidRPr="003D2A23" w:rsidRDefault="00D41BE8" w:rsidP="00D41BE8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М.М. </w:t>
            </w:r>
            <w:proofErr w:type="spellStart"/>
            <w:r w:rsidRPr="003D2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Юровицкая</w:t>
            </w:r>
            <w:proofErr w:type="spellEnd"/>
            <w:r w:rsidR="009A0B56" w:rsidRPr="003D2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Л.В. </w:t>
            </w:r>
            <w:proofErr w:type="spellStart"/>
            <w:r w:rsidR="009A0B56" w:rsidRPr="003D2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Шуляков</w:t>
            </w:r>
            <w:proofErr w:type="spellEnd"/>
          </w:p>
        </w:tc>
      </w:tr>
      <w:tr w:rsidR="00BF63C9" w:rsidRPr="003D2A23" w14:paraId="630356E2" w14:textId="77777777" w:rsidTr="00AE13E1">
        <w:tc>
          <w:tcPr>
            <w:tcW w:w="4268" w:type="dxa"/>
          </w:tcPr>
          <w:p w14:paraId="105192E3" w14:textId="7D4825AF" w:rsidR="00BF63C9" w:rsidRPr="003D2A23" w:rsidRDefault="00BF63C9" w:rsidP="00BF63C9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D2A23">
              <w:rPr>
                <w:rFonts w:ascii="Times New Roman" w:hAnsi="Times New Roman" w:cs="Times New Roman"/>
                <w:lang w:val="en-US"/>
              </w:rPr>
              <w:t>/</w:t>
            </w:r>
            <w:r w:rsidRPr="003D2A2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071" w:type="dxa"/>
          </w:tcPr>
          <w:p w14:paraId="6FD313B4" w14:textId="77777777" w:rsidR="00BF63C9" w:rsidRPr="003D2A23" w:rsidRDefault="00CF300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Библия является одной из ключевых книг, легших в основу европейской культуры. В силу исторических причин библеистика - наука, широко представленная практически во всех университетах Европы и Америки, - в России значительно отстала в своем развитии и начала возрождаться только с конца 20 века. При этом в российском обществе наблюдается явный рост интереса к Библии, христианской и иудейской культуре, различным аспектам научной библеистики. Для специалистов по библеистике первоочередной задачей является подготовка учебных и научных комментариев к библейским текстам, введений, курсов лекций, научно-популярных книг и статей.</w:t>
            </w:r>
          </w:p>
          <w:p w14:paraId="247CCE4E" w14:textId="31F92BAA" w:rsidR="00CF3005" w:rsidRPr="003D2A23" w:rsidRDefault="00CF3005" w:rsidP="00CF30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Серия проектов, которую запускает программа «Библеистика», дает возможность привлечь к этой масштабной задаче студентов различных отделений ВШЭ.</w:t>
            </w:r>
          </w:p>
        </w:tc>
      </w:tr>
      <w:tr w:rsidR="00A47807" w:rsidRPr="003D2A23" w14:paraId="03E3786D" w14:textId="77777777" w:rsidTr="00AE13E1">
        <w:tc>
          <w:tcPr>
            <w:tcW w:w="4268" w:type="dxa"/>
          </w:tcPr>
          <w:p w14:paraId="77318017" w14:textId="28C3646A" w:rsidR="00A47807" w:rsidRPr="003D2A23" w:rsidRDefault="00BF63C9" w:rsidP="009E2FA7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3D2A23">
              <w:rPr>
                <w:rFonts w:ascii="Times New Roman" w:hAnsi="Times New Roman" w:cs="Times New Roman"/>
              </w:rPr>
              <w:t xml:space="preserve">решаемой </w:t>
            </w:r>
            <w:r w:rsidRPr="003D2A23">
              <w:rPr>
                <w:rFonts w:ascii="Times New Roman" w:hAnsi="Times New Roman" w:cs="Times New Roman"/>
              </w:rPr>
              <w:t>проблем</w:t>
            </w:r>
            <w:r w:rsidR="009E2FA7" w:rsidRPr="003D2A2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71" w:type="dxa"/>
          </w:tcPr>
          <w:p w14:paraId="410BFC86" w14:textId="7484330F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В ходе </w:t>
            </w:r>
            <w:r w:rsidR="00C02328" w:rsidRPr="003D2A23">
              <w:rPr>
                <w:rFonts w:ascii="Times New Roman" w:hAnsi="Times New Roman" w:cs="Times New Roman"/>
              </w:rPr>
              <w:t xml:space="preserve">данного </w:t>
            </w:r>
            <w:r w:rsidRPr="003D2A23">
              <w:rPr>
                <w:rFonts w:ascii="Times New Roman" w:hAnsi="Times New Roman" w:cs="Times New Roman"/>
              </w:rPr>
              <w:t xml:space="preserve">проекта участники получат начальные знания древнееврейского языка и библейской текстологии, прочитают несколько отрывков из книги Бытия на древнееврейском языке, самостоятельно подготовят учебный (грамматический) комментарий к избранным отрывкам книги Бытия. В дальнейшем результаты проекта </w:t>
            </w:r>
            <w:r w:rsidR="00000E8C" w:rsidRPr="003D2A23">
              <w:rPr>
                <w:rFonts w:ascii="Times New Roman" w:hAnsi="Times New Roman" w:cs="Times New Roman"/>
              </w:rPr>
              <w:t>могут быть использованы</w:t>
            </w:r>
            <w:r w:rsidRPr="003D2A23">
              <w:rPr>
                <w:rFonts w:ascii="Times New Roman" w:hAnsi="Times New Roman" w:cs="Times New Roman"/>
              </w:rPr>
              <w:t xml:space="preserve"> для подготовки полного учебного комментария к книге Бытия.</w:t>
            </w:r>
          </w:p>
        </w:tc>
      </w:tr>
      <w:tr w:rsidR="00A47807" w:rsidRPr="003D2A23" w14:paraId="7C9CC284" w14:textId="77777777" w:rsidTr="00AE13E1">
        <w:tc>
          <w:tcPr>
            <w:tcW w:w="4268" w:type="dxa"/>
          </w:tcPr>
          <w:p w14:paraId="488F959C" w14:textId="6AF01058" w:rsidR="00A47807" w:rsidRPr="003D2A23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D2A23">
              <w:rPr>
                <w:rFonts w:ascii="Times New Roman" w:hAnsi="Times New Roman" w:cs="Times New Roman"/>
              </w:rPr>
              <w:t>Цель проекта</w:t>
            </w:r>
            <w:r w:rsidR="00BF63C9" w:rsidRPr="003D2A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1" w:type="dxa"/>
          </w:tcPr>
          <w:p w14:paraId="4992ECD8" w14:textId="77777777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В рамках проекта студенты:</w:t>
            </w:r>
          </w:p>
          <w:p w14:paraId="2494E579" w14:textId="77777777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– познакомятся с основами грамматики древнееврейского языка; </w:t>
            </w:r>
          </w:p>
          <w:p w14:paraId="7F3425F9" w14:textId="77777777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– разовьют базовые навыки чтения на древнееврейском языке; </w:t>
            </w:r>
          </w:p>
          <w:p w14:paraId="0EA1CB8E" w14:textId="77777777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– освоят навыки самостоятельной работы со справочными ресурсами и словарями (печатными, электронными и онлайн), необходимые как для эффективного изучения языка в рамках курса, так и для возможного дальнейшего углубления знаний;</w:t>
            </w:r>
          </w:p>
          <w:p w14:paraId="700AB111" w14:textId="77777777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– освоят навыки составления грамматического комментария;</w:t>
            </w:r>
          </w:p>
          <w:p w14:paraId="6537D900" w14:textId="77777777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– получат знания об ключевых темах, понятиях и терминах книги Бытия;</w:t>
            </w:r>
          </w:p>
          <w:p w14:paraId="2A8CD0B5" w14:textId="77777777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lastRenderedPageBreak/>
              <w:t>– познакомятся с основной научной литературой, посвященной книге Бытия.</w:t>
            </w:r>
          </w:p>
          <w:p w14:paraId="476B5B5C" w14:textId="6EDA58F0" w:rsidR="00A47807" w:rsidRPr="003D2A23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3D2A23" w14:paraId="7971A180" w14:textId="77777777" w:rsidTr="00AE13E1">
        <w:tc>
          <w:tcPr>
            <w:tcW w:w="4268" w:type="dxa"/>
          </w:tcPr>
          <w:p w14:paraId="010F560F" w14:textId="3890099C" w:rsidR="00BF63C9" w:rsidRPr="003D2A23" w:rsidRDefault="00BF63C9" w:rsidP="00EF51AC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3D2A2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71" w:type="dxa"/>
          </w:tcPr>
          <w:p w14:paraId="239C4CF9" w14:textId="11FEF2D8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По завершении проекта каждый из участников должен представить учебный </w:t>
            </w:r>
            <w:r w:rsidR="00E8184C" w:rsidRPr="003D2A23">
              <w:rPr>
                <w:rFonts w:ascii="Times New Roman" w:hAnsi="Times New Roman" w:cs="Times New Roman"/>
              </w:rPr>
              <w:t xml:space="preserve">(грамматический) </w:t>
            </w:r>
            <w:r w:rsidRPr="003D2A23">
              <w:rPr>
                <w:rFonts w:ascii="Times New Roman" w:hAnsi="Times New Roman" w:cs="Times New Roman"/>
              </w:rPr>
              <w:t>комментарий к фрагменту книги Бытия. Точный объем будет определяться индивидуально в зависимости от размера и сложности выбранного отрывка.</w:t>
            </w:r>
          </w:p>
          <w:p w14:paraId="44653366" w14:textId="77777777" w:rsidR="00BF63C9" w:rsidRPr="003D2A23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3D2A23" w14:paraId="4203FB8C" w14:textId="77777777" w:rsidTr="00AE13E1">
        <w:tc>
          <w:tcPr>
            <w:tcW w:w="4268" w:type="dxa"/>
          </w:tcPr>
          <w:p w14:paraId="6F0554A2" w14:textId="49D97189" w:rsidR="009E2FA7" w:rsidRPr="003D2A23" w:rsidRDefault="009E2FA7" w:rsidP="009E2FA7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1" w:type="dxa"/>
          </w:tcPr>
          <w:p w14:paraId="2802452B" w14:textId="019BB921" w:rsidR="008768CE" w:rsidRPr="003D2A23" w:rsidRDefault="008768CE" w:rsidP="008768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Перед каждым из участников проекта ставится одна и та же задача: составление учебного (грамматического) комментария к </w:t>
            </w:r>
            <w:r w:rsidR="00A54F71" w:rsidRPr="003D2A23">
              <w:rPr>
                <w:rFonts w:ascii="Times New Roman" w:hAnsi="Times New Roman" w:cs="Times New Roman"/>
              </w:rPr>
              <w:t xml:space="preserve">отрывку книги Бытия. </w:t>
            </w:r>
          </w:p>
          <w:p w14:paraId="3A8CAE35" w14:textId="77777777" w:rsidR="009E2FA7" w:rsidRPr="003D2A23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3D2A23" w14:paraId="1B36512B" w14:textId="77777777" w:rsidTr="00AE13E1">
        <w:tc>
          <w:tcPr>
            <w:tcW w:w="4268" w:type="dxa"/>
          </w:tcPr>
          <w:p w14:paraId="0F65BDCC" w14:textId="7DFDA24D" w:rsidR="00F17150" w:rsidRPr="003D2A23" w:rsidRDefault="00F17150" w:rsidP="009E2FA7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71" w:type="dxa"/>
          </w:tcPr>
          <w:p w14:paraId="4D2EE5E5" w14:textId="6E646371" w:rsidR="00F17150" w:rsidRPr="003D2A23" w:rsidRDefault="00AE13E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</w:rPr>
              <w:t>1</w:t>
            </w:r>
            <w:r w:rsidR="00AC2FE5" w:rsidRPr="003D2A23">
              <w:rPr>
                <w:rFonts w:ascii="Times New Roman" w:hAnsi="Times New Roman" w:cs="Times New Roman"/>
              </w:rPr>
              <w:t>2</w:t>
            </w:r>
          </w:p>
        </w:tc>
      </w:tr>
      <w:tr w:rsidR="00A47807" w:rsidRPr="003D2A23" w14:paraId="0D6CEAC8" w14:textId="77777777" w:rsidTr="00AE13E1">
        <w:tc>
          <w:tcPr>
            <w:tcW w:w="4268" w:type="dxa"/>
          </w:tcPr>
          <w:p w14:paraId="24DF49F3" w14:textId="6165F75E" w:rsidR="00A47807" w:rsidRPr="003D2A23" w:rsidRDefault="00032C8B" w:rsidP="00F17150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Проектное задание</w:t>
            </w:r>
            <w:r w:rsidR="009E2FA7" w:rsidRPr="003D2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1" w:type="dxa"/>
          </w:tcPr>
          <w:p w14:paraId="2524BCD5" w14:textId="7B474744" w:rsidR="002F4D09" w:rsidRPr="003D2A23" w:rsidRDefault="002F4D09" w:rsidP="006E5DC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В ходе проекта участники освоят краткий курс грамматики древнееврейского языка, получат практику чтения оригинальных текстов на древнееврейском языке и работы со справочной литературой. После этого каждый участник выберет себе одну главу из книги Бытия для составления учебного комментария. Для подготовки комментария </w:t>
            </w:r>
            <w:r w:rsidR="0006287C" w:rsidRPr="003D2A23">
              <w:rPr>
                <w:rFonts w:ascii="Times New Roman" w:hAnsi="Times New Roman" w:cs="Times New Roman"/>
              </w:rPr>
              <w:t>участники</w:t>
            </w:r>
            <w:r w:rsidRPr="003D2A23">
              <w:rPr>
                <w:rFonts w:ascii="Times New Roman" w:hAnsi="Times New Roman" w:cs="Times New Roman"/>
              </w:rPr>
              <w:t xml:space="preserve"> буд</w:t>
            </w:r>
            <w:r w:rsidR="0006287C" w:rsidRPr="003D2A23">
              <w:rPr>
                <w:rFonts w:ascii="Times New Roman" w:hAnsi="Times New Roman" w:cs="Times New Roman"/>
              </w:rPr>
              <w:t>у</w:t>
            </w:r>
            <w:r w:rsidRPr="003D2A23">
              <w:rPr>
                <w:rFonts w:ascii="Times New Roman" w:hAnsi="Times New Roman" w:cs="Times New Roman"/>
              </w:rPr>
              <w:t xml:space="preserve">т использовать предложенную руководителем научную литературу на английском и немецком языках. Результаты будут обсуждаться на регулярных встречах, организуемых руководителем проекта. </w:t>
            </w:r>
          </w:p>
        </w:tc>
      </w:tr>
      <w:tr w:rsidR="00F17150" w:rsidRPr="003D2A23" w14:paraId="2F3B5B12" w14:textId="77777777" w:rsidTr="00AE13E1">
        <w:tc>
          <w:tcPr>
            <w:tcW w:w="4268" w:type="dxa"/>
          </w:tcPr>
          <w:p w14:paraId="2A653B31" w14:textId="77777777" w:rsidR="00F17150" w:rsidRPr="003D2A23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3D2A23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14:paraId="2FAEA78D" w14:textId="77777777" w:rsidR="00F66D19" w:rsidRPr="003D2A23" w:rsidRDefault="00F66D19" w:rsidP="00F66D19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В случае большого количества заявок на проект предпочтение будет отдано студентам, имеющим опыт работы с англоязычной и немецкоязычной научной литературой.</w:t>
            </w:r>
          </w:p>
          <w:p w14:paraId="2DA50847" w14:textId="5A0C94A0" w:rsidR="00F17150" w:rsidRPr="003D2A23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3D2A23" w14:paraId="03FD99AE" w14:textId="77777777" w:rsidTr="00AE13E1">
        <w:tc>
          <w:tcPr>
            <w:tcW w:w="4268" w:type="dxa"/>
          </w:tcPr>
          <w:p w14:paraId="2677C55D" w14:textId="2C451B2B" w:rsidR="00691CF6" w:rsidRPr="003D2A23" w:rsidRDefault="00023E4E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Сроки </w:t>
            </w:r>
            <w:r w:rsidR="009E2FA7" w:rsidRPr="003D2A23">
              <w:rPr>
                <w:rFonts w:ascii="Times New Roman" w:hAnsi="Times New Roman" w:cs="Times New Roman"/>
              </w:rPr>
              <w:t xml:space="preserve">и график </w:t>
            </w:r>
            <w:r w:rsidRPr="003D2A23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3D2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1" w:type="dxa"/>
          </w:tcPr>
          <w:p w14:paraId="5BDB37EE" w14:textId="7D65A8A3" w:rsidR="00691CF6" w:rsidRPr="003D2A23" w:rsidRDefault="00F66D19" w:rsidP="005E13DA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1.</w:t>
            </w:r>
            <w:r w:rsidR="00AE13E1" w:rsidRPr="003D2A23">
              <w:rPr>
                <w:rFonts w:ascii="Times New Roman" w:hAnsi="Times New Roman" w:cs="Times New Roman"/>
              </w:rPr>
              <w:t>11</w:t>
            </w:r>
            <w:r w:rsidRPr="003D2A23">
              <w:rPr>
                <w:rFonts w:ascii="Times New Roman" w:hAnsi="Times New Roman" w:cs="Times New Roman"/>
              </w:rPr>
              <w:t>.2021–</w:t>
            </w:r>
            <w:r w:rsidR="00AE13E1" w:rsidRPr="003D2A23">
              <w:rPr>
                <w:rFonts w:ascii="Times New Roman" w:hAnsi="Times New Roman" w:cs="Times New Roman"/>
              </w:rPr>
              <w:t>15</w:t>
            </w:r>
            <w:r w:rsidRPr="003D2A23">
              <w:rPr>
                <w:rFonts w:ascii="Times New Roman" w:hAnsi="Times New Roman" w:cs="Times New Roman"/>
              </w:rPr>
              <w:t>.06.2022</w:t>
            </w:r>
          </w:p>
        </w:tc>
      </w:tr>
      <w:tr w:rsidR="009E2FA7" w:rsidRPr="003D2A23" w14:paraId="71E87C93" w14:textId="77777777" w:rsidTr="00AE13E1">
        <w:tc>
          <w:tcPr>
            <w:tcW w:w="4268" w:type="dxa"/>
          </w:tcPr>
          <w:p w14:paraId="14677A1E" w14:textId="2468164E" w:rsidR="009E2FA7" w:rsidRPr="003D2A23" w:rsidRDefault="009E2FA7" w:rsidP="009E2FA7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1" w:type="dxa"/>
          </w:tcPr>
          <w:p w14:paraId="60C49DD9" w14:textId="403EB8B3" w:rsidR="009E2FA7" w:rsidRPr="003D2A23" w:rsidRDefault="00F66D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i/>
                <w:color w:val="000000" w:themeColor="text1"/>
              </w:rPr>
              <w:t>5 часов</w:t>
            </w:r>
          </w:p>
        </w:tc>
      </w:tr>
      <w:tr w:rsidR="00F17150" w:rsidRPr="003D2A23" w14:paraId="46B8FBE9" w14:textId="77777777" w:rsidTr="00AE13E1">
        <w:tc>
          <w:tcPr>
            <w:tcW w:w="4268" w:type="dxa"/>
          </w:tcPr>
          <w:p w14:paraId="0E858938" w14:textId="49403675" w:rsidR="00F17150" w:rsidRPr="003D2A23" w:rsidRDefault="00F17150" w:rsidP="009E2FA7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071" w:type="dxa"/>
          </w:tcPr>
          <w:p w14:paraId="33EDD960" w14:textId="219740C4" w:rsidR="00F17150" w:rsidRPr="003D2A23" w:rsidRDefault="00D41B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66D19" w:rsidRPr="003D2A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кредитов</w:t>
            </w:r>
          </w:p>
        </w:tc>
      </w:tr>
      <w:tr w:rsidR="00032C8B" w:rsidRPr="003D2A23" w14:paraId="6B2E32C1" w14:textId="77777777" w:rsidTr="00AE13E1">
        <w:tc>
          <w:tcPr>
            <w:tcW w:w="4268" w:type="dxa"/>
          </w:tcPr>
          <w:p w14:paraId="443F6004" w14:textId="32A42871" w:rsidR="00032C8B" w:rsidRPr="003D2A23" w:rsidRDefault="00032C8B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1" w:type="dxa"/>
          </w:tcPr>
          <w:p w14:paraId="4E534295" w14:textId="6DFD6781" w:rsidR="00F66D19" w:rsidRPr="003D2A23" w:rsidRDefault="00093D62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3D2A23" w14:paraId="26C4FA95" w14:textId="77777777" w:rsidTr="00AE13E1">
        <w:tc>
          <w:tcPr>
            <w:tcW w:w="4268" w:type="dxa"/>
          </w:tcPr>
          <w:p w14:paraId="6861C4AF" w14:textId="4FEF1E56" w:rsidR="00F379A0" w:rsidRPr="003D2A23" w:rsidRDefault="009E2FA7" w:rsidP="009E2FA7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1" w:type="dxa"/>
          </w:tcPr>
          <w:p w14:paraId="09C35C9F" w14:textId="3F17BC05" w:rsidR="00F379A0" w:rsidRPr="003D2A23" w:rsidRDefault="007F32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i/>
                <w:color w:val="000000" w:themeColor="text1"/>
              </w:rPr>
              <w:t>Текст учебного</w:t>
            </w:r>
            <w:r w:rsidR="00E8184C" w:rsidRPr="003D2A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(грамматического)</w:t>
            </w:r>
            <w:r w:rsidR="00093D62" w:rsidRPr="003D2A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комментари</w:t>
            </w:r>
            <w:r w:rsidRPr="003D2A23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</w:p>
        </w:tc>
      </w:tr>
      <w:tr w:rsidR="00A47807" w:rsidRPr="003D2A23" w14:paraId="384D585B" w14:textId="77777777" w:rsidTr="00AE13E1">
        <w:tc>
          <w:tcPr>
            <w:tcW w:w="4268" w:type="dxa"/>
          </w:tcPr>
          <w:p w14:paraId="7548FE3D" w14:textId="7BD9A42A" w:rsidR="00A47807" w:rsidRPr="003D2A23" w:rsidRDefault="009E2FA7" w:rsidP="00F17150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71" w:type="dxa"/>
          </w:tcPr>
          <w:p w14:paraId="0C4E70E2" w14:textId="3FD519F3" w:rsidR="00A47807" w:rsidRPr="003D2A23" w:rsidRDefault="00093D62" w:rsidP="00AD4D49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Развитие навыков работы с древними памятниками, навыков работы с научной литературой, навыков академического письма.</w:t>
            </w:r>
          </w:p>
        </w:tc>
      </w:tr>
      <w:tr w:rsidR="00971EDC" w:rsidRPr="003D2A23" w14:paraId="3AE0C6F1" w14:textId="77777777" w:rsidTr="00AE13E1">
        <w:tc>
          <w:tcPr>
            <w:tcW w:w="4268" w:type="dxa"/>
          </w:tcPr>
          <w:p w14:paraId="42D07D64" w14:textId="6BE17E6E" w:rsidR="00971EDC" w:rsidRPr="003D2A23" w:rsidRDefault="00971EDC" w:rsidP="00F17150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3D2A2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71" w:type="dxa"/>
          </w:tcPr>
          <w:p w14:paraId="53673ECB" w14:textId="6B937F2E" w:rsidR="00971EDC" w:rsidRPr="003D2A23" w:rsidRDefault="00CF0CD5" w:rsidP="00AD4D49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Оценивается качество представленного комментария</w:t>
            </w:r>
          </w:p>
        </w:tc>
      </w:tr>
      <w:tr w:rsidR="009A3754" w:rsidRPr="003D2A23" w14:paraId="301B92D0" w14:textId="77777777" w:rsidTr="00AE13E1">
        <w:tc>
          <w:tcPr>
            <w:tcW w:w="4268" w:type="dxa"/>
          </w:tcPr>
          <w:p w14:paraId="105D9F0C" w14:textId="32ADFBD0" w:rsidR="009A3754" w:rsidRPr="003D2A23" w:rsidRDefault="004E3F32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1" w:type="dxa"/>
          </w:tcPr>
          <w:p w14:paraId="72AB48FA" w14:textId="6A6E7A2A" w:rsidR="009A3754" w:rsidRPr="003D2A23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3D2A23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CF0CD5" w:rsidRPr="003D2A23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AE13E1" w:rsidRPr="003D2A23" w14:paraId="14260A8B" w14:textId="77777777" w:rsidTr="00AE13E1">
        <w:tc>
          <w:tcPr>
            <w:tcW w:w="4268" w:type="dxa"/>
          </w:tcPr>
          <w:p w14:paraId="7020932B" w14:textId="56DDD067" w:rsidR="00AE13E1" w:rsidRPr="003D2A23" w:rsidRDefault="00AE13E1" w:rsidP="00AE1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1" w:type="dxa"/>
          </w:tcPr>
          <w:p w14:paraId="28B5B8C9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D2A23">
              <w:rPr>
                <w:rFonts w:ascii="Times New Roman" w:hAnsi="Times New Roman" w:cs="Times New Roman"/>
              </w:rPr>
              <w:t xml:space="preserve">Арабистика: язык, словесность, культура; Язык, словесность и культура Китая; Христианский Восток; Монголия и Тибет; </w:t>
            </w:r>
            <w:r w:rsidRPr="003D2A23">
              <w:rPr>
                <w:rFonts w:ascii="Times New Roman" w:hAnsi="Times New Roman" w:cs="Times New Roman"/>
              </w:rPr>
              <w:lastRenderedPageBreak/>
              <w:t xml:space="preserve">Турция и тюркский мир; Эфиопия и арабский мир; Ассириология; Языки и литература Индии; Язык и литература Ирана; Языки и литература Юго-Восточной Азии; Язык и литература Японии; Античность; Востоковедение; История; Культурология; </w:t>
            </w:r>
            <w:proofErr w:type="spellStart"/>
            <w:r w:rsidRPr="003D2A23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3D2A23">
              <w:rPr>
                <w:rFonts w:ascii="Times New Roman" w:hAnsi="Times New Roman" w:cs="Times New Roman"/>
              </w:rPr>
              <w:t xml:space="preserve">; Филология; Философия; Фундаментальная и компьютерная лингвистика; </w:t>
            </w:r>
            <w:r w:rsidRPr="003D2A23">
              <w:rPr>
                <w:rFonts w:ascii="Times New Roman" w:hAnsi="Times New Roman" w:cs="Times New Roman"/>
                <w:color w:val="000000"/>
              </w:rPr>
              <w:t>Иностранные языки и межкультурная коммуникация;</w:t>
            </w:r>
          </w:p>
          <w:p w14:paraId="5E7ECF5C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  <w:color w:val="000000"/>
              </w:rPr>
              <w:t>История искусств.</w:t>
            </w:r>
          </w:p>
          <w:p w14:paraId="41E5DC2E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Магистерские программы:</w:t>
            </w:r>
          </w:p>
          <w:p w14:paraId="2A3CAFCC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  <w:lang w:val="en-GB"/>
              </w:rPr>
              <w:t>Germanica</w:t>
            </w:r>
            <w:r w:rsidRPr="003D2A23">
              <w:rPr>
                <w:rFonts w:ascii="Times New Roman" w:hAnsi="Times New Roman" w:cs="Times New Roman"/>
                <w:color w:val="000000" w:themeColor="text1"/>
              </w:rPr>
              <w:t>: история и современность;</w:t>
            </w:r>
          </w:p>
          <w:p w14:paraId="7530EBD7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Античная и восточная археология;</w:t>
            </w:r>
          </w:p>
          <w:p w14:paraId="70D482ED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Компьютерная лингвистика;</w:t>
            </w:r>
          </w:p>
          <w:p w14:paraId="23AFA6A0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Культурная и интеллектуальная история: между Востоком и Западом;</w:t>
            </w:r>
          </w:p>
          <w:p w14:paraId="24980A97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Лингвистическая теория и описание языка;</w:t>
            </w:r>
          </w:p>
          <w:p w14:paraId="77DAFAC0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Медиевистика;</w:t>
            </w:r>
          </w:p>
          <w:p w14:paraId="26D284EC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Философия и история религии;</w:t>
            </w:r>
          </w:p>
          <w:p w14:paraId="75421E3C" w14:textId="77777777" w:rsidR="00AE13E1" w:rsidRPr="003D2A23" w:rsidRDefault="00AE13E1" w:rsidP="00AE1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Философская антропология;</w:t>
            </w:r>
          </w:p>
          <w:p w14:paraId="2CBAC50B" w14:textId="048ECF19" w:rsidR="00AE13E1" w:rsidRPr="003D2A23" w:rsidRDefault="00AE13E1" w:rsidP="00AE13E1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t>Цифровые методы в гуманитарных науках.</w:t>
            </w:r>
          </w:p>
        </w:tc>
      </w:tr>
      <w:tr w:rsidR="00AE13E1" w:rsidRPr="003D2A23" w14:paraId="4B6A6EBF" w14:textId="77777777" w:rsidTr="00AE13E1">
        <w:tc>
          <w:tcPr>
            <w:tcW w:w="4268" w:type="dxa"/>
          </w:tcPr>
          <w:p w14:paraId="126F3E48" w14:textId="77777777" w:rsidR="00AE13E1" w:rsidRPr="003D2A23" w:rsidRDefault="00AE13E1" w:rsidP="00AE1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A23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071" w:type="dxa"/>
          </w:tcPr>
          <w:p w14:paraId="50B50415" w14:textId="15F964C8" w:rsidR="00AE13E1" w:rsidRPr="003D2A23" w:rsidRDefault="00AE13E1" w:rsidP="00AE13E1">
            <w:pPr>
              <w:rPr>
                <w:rFonts w:ascii="Times New Roman" w:hAnsi="Times New Roman" w:cs="Times New Roman"/>
              </w:rPr>
            </w:pPr>
            <w:r w:rsidRPr="003D2A23">
              <w:rPr>
                <w:rFonts w:ascii="Times New Roman" w:hAnsi="Times New Roman" w:cs="Times New Roman"/>
              </w:rPr>
              <w:t>Старая Басманная улица, д. 21/4</w:t>
            </w:r>
          </w:p>
        </w:tc>
      </w:tr>
    </w:tbl>
    <w:p w14:paraId="4D277C6A" w14:textId="77777777" w:rsidR="00691CF6" w:rsidRPr="003D2A23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3D2A23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3D2A23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3D2A23" w:rsidRDefault="004E12FA" w:rsidP="004E12FA">
      <w:pPr>
        <w:rPr>
          <w:rFonts w:ascii="Times New Roman" w:hAnsi="Times New Roman" w:cs="Times New Roman"/>
        </w:rPr>
      </w:pPr>
      <w:r w:rsidRPr="003D2A23">
        <w:rPr>
          <w:rFonts w:ascii="Times New Roman" w:hAnsi="Times New Roman" w:cs="Times New Roman"/>
        </w:rPr>
        <w:tab/>
      </w:r>
      <w:r w:rsidRPr="003D2A23">
        <w:rPr>
          <w:rFonts w:ascii="Times New Roman" w:hAnsi="Times New Roman" w:cs="Times New Roman"/>
        </w:rPr>
        <w:tab/>
      </w:r>
    </w:p>
    <w:sectPr w:rsidR="004E12FA" w:rsidRPr="003D2A2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E8C"/>
    <w:rsid w:val="00023E4E"/>
    <w:rsid w:val="00032C8B"/>
    <w:rsid w:val="00054118"/>
    <w:rsid w:val="0006287C"/>
    <w:rsid w:val="00093D62"/>
    <w:rsid w:val="00097D02"/>
    <w:rsid w:val="000A439E"/>
    <w:rsid w:val="00113A42"/>
    <w:rsid w:val="001B0C26"/>
    <w:rsid w:val="001D79C2"/>
    <w:rsid w:val="00231EA4"/>
    <w:rsid w:val="0024200C"/>
    <w:rsid w:val="00254BBA"/>
    <w:rsid w:val="00295F80"/>
    <w:rsid w:val="002D4B0B"/>
    <w:rsid w:val="002F4D09"/>
    <w:rsid w:val="003B611F"/>
    <w:rsid w:val="003C3754"/>
    <w:rsid w:val="003D2A23"/>
    <w:rsid w:val="003D53CE"/>
    <w:rsid w:val="003E3254"/>
    <w:rsid w:val="00400C0B"/>
    <w:rsid w:val="00405D66"/>
    <w:rsid w:val="004678F7"/>
    <w:rsid w:val="004C1D36"/>
    <w:rsid w:val="004E11DE"/>
    <w:rsid w:val="004E12FA"/>
    <w:rsid w:val="004E3F32"/>
    <w:rsid w:val="004E5D41"/>
    <w:rsid w:val="005A6059"/>
    <w:rsid w:val="005E13DA"/>
    <w:rsid w:val="005E3B03"/>
    <w:rsid w:val="00611FDD"/>
    <w:rsid w:val="00691CF6"/>
    <w:rsid w:val="006E2633"/>
    <w:rsid w:val="006E5DCE"/>
    <w:rsid w:val="00772F69"/>
    <w:rsid w:val="007B083E"/>
    <w:rsid w:val="007F323C"/>
    <w:rsid w:val="0082311B"/>
    <w:rsid w:val="00834E3D"/>
    <w:rsid w:val="008768CE"/>
    <w:rsid w:val="00897C62"/>
    <w:rsid w:val="008B458B"/>
    <w:rsid w:val="009350EA"/>
    <w:rsid w:val="00963578"/>
    <w:rsid w:val="00971EDC"/>
    <w:rsid w:val="00990D2A"/>
    <w:rsid w:val="009A0B56"/>
    <w:rsid w:val="009A3754"/>
    <w:rsid w:val="009D152B"/>
    <w:rsid w:val="009E2FA7"/>
    <w:rsid w:val="00A013F2"/>
    <w:rsid w:val="00A47807"/>
    <w:rsid w:val="00A54F71"/>
    <w:rsid w:val="00A550AE"/>
    <w:rsid w:val="00AC2FE5"/>
    <w:rsid w:val="00AC3C06"/>
    <w:rsid w:val="00AD4D49"/>
    <w:rsid w:val="00AD5C4C"/>
    <w:rsid w:val="00AD6D5D"/>
    <w:rsid w:val="00AE13E1"/>
    <w:rsid w:val="00B1047A"/>
    <w:rsid w:val="00B47552"/>
    <w:rsid w:val="00BF63C9"/>
    <w:rsid w:val="00C02328"/>
    <w:rsid w:val="00C57362"/>
    <w:rsid w:val="00C7416C"/>
    <w:rsid w:val="00C86CA2"/>
    <w:rsid w:val="00CF0CD5"/>
    <w:rsid w:val="00CF3005"/>
    <w:rsid w:val="00CF6E5B"/>
    <w:rsid w:val="00D41BE8"/>
    <w:rsid w:val="00D448DA"/>
    <w:rsid w:val="00D50690"/>
    <w:rsid w:val="00D66022"/>
    <w:rsid w:val="00E8184C"/>
    <w:rsid w:val="00EB1D73"/>
    <w:rsid w:val="00EF51AC"/>
    <w:rsid w:val="00F17150"/>
    <w:rsid w:val="00F17335"/>
    <w:rsid w:val="00F379A0"/>
    <w:rsid w:val="00F50313"/>
    <w:rsid w:val="00F66D19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4143</Characters>
  <Application>Microsoft Office Word</Application>
  <DocSecurity>0</DocSecurity>
  <Lines>67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2021-08-23T10:26:00Z</dcterms:created>
  <dcterms:modified xsi:type="dcterms:W3CDTF">2021-08-23T10:26:00Z</dcterms:modified>
</cp:coreProperties>
</file>