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48" w:rsidRDefault="0019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03548" w:rsidRDefault="00803548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Исследовательский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803548" w:rsidRDefault="00CC1ADC" w:rsidP="007951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музеях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чего все начиналось и </w:t>
            </w:r>
            <w:r w:rsidR="007951EA">
              <w:rPr>
                <w:rFonts w:ascii="Times New Roman" w:eastAsia="Times New Roman" w:hAnsi="Times New Roman" w:cs="Times New Roman"/>
                <w:color w:val="000000"/>
              </w:rPr>
              <w:t>что ждать в дальнейшем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Лаборатория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803548" w:rsidRDefault="00194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И.А., научный сотрудник Лаборатории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803548" w:rsidRDefault="00194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Лаборатории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803548" w:rsidRDefault="007951EA" w:rsidP="0079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951EA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</w:t>
            </w:r>
            <w:r w:rsidRPr="007951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7951EA">
              <w:rPr>
                <w:rFonts w:ascii="Times New Roman" w:eastAsia="Times New Roman" w:hAnsi="Times New Roman" w:cs="Times New Roman"/>
                <w:color w:val="000000"/>
              </w:rPr>
              <w:t xml:space="preserve">-19 информатизация музейной деятельности значительно ускорилась. Многие музеи за последние два года прошли такой же путь в сфере цифровой трансформации, который другие музеи проходили за 10-15 лет. Тем не менее, процесс цифровой трансформации музейной деятельности актуален </w:t>
            </w:r>
            <w:r w:rsidR="00194299" w:rsidRPr="007951EA">
              <w:rPr>
                <w:rFonts w:ascii="Times New Roman" w:eastAsia="Times New Roman" w:hAnsi="Times New Roman" w:cs="Times New Roman"/>
                <w:color w:val="000000"/>
              </w:rPr>
              <w:t xml:space="preserve">для музеев и вне контекста пандемии. </w:t>
            </w:r>
            <w:r w:rsidRPr="007951EA">
              <w:rPr>
                <w:rFonts w:ascii="Times New Roman" w:eastAsia="Times New Roman" w:hAnsi="Times New Roman" w:cs="Times New Roman"/>
                <w:color w:val="000000"/>
              </w:rPr>
              <w:t>Сегодня возрастает интерес к тому, с чего все началось и куда движется? Данный проект позволит определить не только основные этапы цифровой трансформации музеев, но и выявить тренды, на которые музеи будут нацелены в недалеком будущем.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CC1ADC" w:rsidRDefault="00CC1AD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основных этапов развития информатизации музейной деятельности</w:t>
            </w:r>
          </w:p>
          <w:p w:rsidR="00803548" w:rsidRDefault="00803548" w:rsidP="00CC1AD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803548" w:rsidRDefault="00CC1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со статьями музейных конференций по определению времени смены в музеях одних технологий другими </w:t>
            </w:r>
          </w:p>
          <w:p w:rsidR="00803548" w:rsidRDefault="00194299" w:rsidP="00CC1A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записка, подготовленная в результате исследования 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 xml:space="preserve">выявлению основных этапов и </w:t>
            </w:r>
            <w:r w:rsidR="00CC1ADC">
              <w:rPr>
                <w:rFonts w:ascii="Times New Roman" w:eastAsia="Times New Roman" w:hAnsi="Times New Roman" w:cs="Times New Roman"/>
              </w:rPr>
              <w:t>причин смены одних технологий другими</w:t>
            </w:r>
          </w:p>
        </w:tc>
      </w:tr>
      <w:tr w:rsidR="00803548">
        <w:trPr>
          <w:trHeight w:val="1916"/>
        </w:trPr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навыков исследовательской работы; 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Уверенное владение английским языком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Аналитическое мышление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Внимательность, аккуратность, ответственность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803548" w:rsidRDefault="00CC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выполнения проекта студенты будут работать со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 статьями зарубежных и российских музейных конференций </w:t>
            </w:r>
          </w:p>
          <w:p w:rsidR="00803548" w:rsidRDefault="00803548">
            <w:pPr>
              <w:rPr>
                <w:rFonts w:ascii="Times New Roman" w:eastAsia="Times New Roman" w:hAnsi="Times New Roman" w:cs="Times New Roman"/>
              </w:rPr>
            </w:pPr>
          </w:p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предусматривает 2 этапа.</w:t>
            </w:r>
          </w:p>
          <w:p w:rsidR="00CC1ADC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 этап: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 Первичный сбор информации: сбор </w:t>
            </w:r>
            <w:r w:rsidR="00CC1ADC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наименований и аннотаций статей, представленных на конференциях </w:t>
            </w:r>
            <w:proofErr w:type="gramStart"/>
            <w:r w:rsidR="00CC1ADC">
              <w:rPr>
                <w:rFonts w:ascii="Times New Roman" w:eastAsia="Times New Roman" w:hAnsi="Times New Roman" w:cs="Times New Roman"/>
              </w:rPr>
              <w:t>за  последние</w:t>
            </w:r>
            <w:proofErr w:type="gramEnd"/>
            <w:r w:rsidR="00CC1ADC">
              <w:rPr>
                <w:rFonts w:ascii="Times New Roman" w:eastAsia="Times New Roman" w:hAnsi="Times New Roman" w:cs="Times New Roman"/>
              </w:rPr>
              <w:t xml:space="preserve"> 30 лет</w:t>
            </w:r>
          </w:p>
          <w:p w:rsidR="00803548" w:rsidRDefault="00803548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CC1ADC" w:rsidRDefault="0019429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II этап:</w:t>
            </w:r>
            <w:r w:rsidR="00CC1AD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CC1ADC" w:rsidRPr="00CC1ADC"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="00CC1ADC">
              <w:rPr>
                <w:rFonts w:ascii="Times New Roman" w:eastAsia="Times New Roman" w:hAnsi="Times New Roman" w:cs="Times New Roman"/>
              </w:rPr>
              <w:t>собранной информации с помощью семантического анализа или других инструментов</w:t>
            </w:r>
          </w:p>
          <w:p w:rsidR="00CC1ADC" w:rsidRDefault="00CC1ADC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803548" w:rsidRDefault="00CC1ADC" w:rsidP="00CC1A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III этап:</w:t>
            </w:r>
            <w:r w:rsidR="00194299">
              <w:rPr>
                <w:rFonts w:ascii="Times New Roman" w:eastAsia="Times New Roman" w:hAnsi="Times New Roman" w:cs="Times New Roman"/>
              </w:rPr>
              <w:t xml:space="preserve"> Подготовка аналитической записки, раскрывающей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этапы становления информационных технологий в музеях  и </w:t>
            </w:r>
            <w:r>
              <w:rPr>
                <w:rFonts w:ascii="Times New Roman" w:eastAsia="Times New Roman" w:hAnsi="Times New Roman" w:cs="Times New Roman"/>
              </w:rPr>
              <w:t>причины смены одних технологий другими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происходит на основе заполненной мотивационной анкеты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803548" w:rsidRDefault="00194299" w:rsidP="00CC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– 2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803548" w:rsidRDefault="00D02553" w:rsidP="00CC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bookmarkStart w:id="1" w:name="_GoBack"/>
            <w:bookmarkEnd w:id="1"/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 часов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803548" w:rsidRDefault="00D96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94299">
              <w:rPr>
                <w:rFonts w:ascii="Times New Roman" w:eastAsia="Times New Roman" w:hAnsi="Times New Roman" w:cs="Times New Roman"/>
                <w:color w:val="000000"/>
              </w:rPr>
              <w:t xml:space="preserve"> кредита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03548" w:rsidRDefault="00CC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03548" w:rsidRDefault="00194299" w:rsidP="00CC1A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Сформированная база </w:t>
            </w:r>
            <w:r w:rsidR="00CC1ADC">
              <w:rPr>
                <w:rFonts w:ascii="Times New Roman" w:eastAsia="Times New Roman" w:hAnsi="Times New Roman" w:cs="Times New Roman"/>
                <w:color w:val="000000"/>
              </w:rPr>
              <w:t>статей музейных конференций по развитию информационных технологий в музеях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03548" w:rsidRDefault="00CC1A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Аналитическая записка,</w:t>
            </w:r>
            <w:r>
              <w:rPr>
                <w:rFonts w:ascii="Times New Roman" w:eastAsia="Times New Roman" w:hAnsi="Times New Roman" w:cs="Times New Roman"/>
              </w:rPr>
              <w:t xml:space="preserve"> раскрывающая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основные этапы становления информационных технологий в музеях  и </w:t>
            </w:r>
            <w:r>
              <w:rPr>
                <w:rFonts w:ascii="Times New Roman" w:eastAsia="Times New Roman" w:hAnsi="Times New Roman" w:cs="Times New Roman"/>
              </w:rPr>
              <w:t>причины смены одних технологий другими</w:t>
            </w:r>
          </w:p>
          <w:p w:rsidR="00CC1ADC" w:rsidRPr="00CC1ADC" w:rsidRDefault="00CC1ADC" w:rsidP="00CC1A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CC1A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Публичная презентация результатов проекта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аналитической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различными видам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данных </w:t>
            </w:r>
          </w:p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работы с большим объёмом данных </w:t>
            </w:r>
          </w:p>
          <w:p w:rsidR="00CC1ADC" w:rsidRDefault="00194299" w:rsidP="00CC1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Навыки визуализации </w:t>
            </w:r>
            <w:r w:rsidR="00CC1ADC">
              <w:rPr>
                <w:rFonts w:ascii="Times New Roman" w:eastAsia="Times New Roman" w:hAnsi="Times New Roman" w:cs="Times New Roman"/>
              </w:rPr>
              <w:t xml:space="preserve">и презентации </w:t>
            </w:r>
            <w:r>
              <w:rPr>
                <w:rFonts w:ascii="Times New Roman" w:eastAsia="Times New Roman" w:hAnsi="Times New Roman" w:cs="Times New Roman"/>
              </w:rPr>
              <w:t>результатов проекта</w:t>
            </w:r>
          </w:p>
          <w:p w:rsidR="00CC1ADC" w:rsidRDefault="00CC1ADC" w:rsidP="00CC1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C1ADC">
              <w:rPr>
                <w:rFonts w:ascii="Times New Roman" w:eastAsia="Times New Roman" w:hAnsi="Times New Roman" w:cs="Times New Roman"/>
              </w:rPr>
              <w:t>мение работать с новым явлением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</w:rPr>
              <w:t>*0,</w:t>
            </w:r>
            <w:r w:rsidR="00CC1ADC">
              <w:rPr>
                <w:color w:val="000000"/>
              </w:rPr>
              <w:t>3</w:t>
            </w:r>
            <w:r>
              <w:rPr>
                <w:color w:val="000000"/>
              </w:rPr>
              <w:t>+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 w:rsidR="00CC1ADC" w:rsidRPr="00CC1ADC">
              <w:rPr>
                <w:color w:val="000000"/>
              </w:rPr>
              <w:t>О</w:t>
            </w:r>
            <w:r w:rsidR="00CC1ADC" w:rsidRPr="00CC1ADC">
              <w:rPr>
                <w:color w:val="000000"/>
                <w:vertAlign w:val="subscript"/>
              </w:rPr>
              <w:t>ан</w:t>
            </w:r>
            <w:proofErr w:type="spellEnd"/>
            <w:r w:rsidR="00CC1ADC">
              <w:rPr>
                <w:i/>
                <w:color w:val="000000"/>
              </w:rPr>
              <w:t>*3 +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а</w:t>
            </w:r>
            <w:proofErr w:type="spellEnd"/>
            <w:r>
              <w:rPr>
                <w:color w:val="000000"/>
              </w:rPr>
              <w:t>*0,4</w:t>
            </w:r>
          </w:p>
          <w:p w:rsidR="00803548" w:rsidRDefault="00194299">
            <w:pPr>
              <w:rPr>
                <w:color w:val="000000"/>
              </w:rPr>
            </w:pPr>
            <w:r>
              <w:rPr>
                <w:color w:val="000000"/>
              </w:rPr>
              <w:t>где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 xml:space="preserve">— </w:t>
            </w:r>
            <w:r>
              <w:rPr>
                <w:color w:val="000000"/>
              </w:rPr>
              <w:t>оценка за выполнение проекта (</w:t>
            </w:r>
            <w:r w:rsidR="00CC1ADC">
              <w:rPr>
                <w:color w:val="000000"/>
              </w:rPr>
              <w:t>экзамен</w:t>
            </w:r>
            <w:r>
              <w:rPr>
                <w:color w:val="000000"/>
              </w:rPr>
              <w:t>);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—</w:t>
            </w:r>
            <w:r>
              <w:rPr>
                <w:color w:val="000000"/>
              </w:rPr>
              <w:t xml:space="preserve"> оценка за формирование базы </w:t>
            </w:r>
            <w:r w:rsidR="00CC1ADC">
              <w:rPr>
                <w:color w:val="000000"/>
              </w:rPr>
              <w:t xml:space="preserve">статей и аннотаций </w:t>
            </w:r>
            <w:r>
              <w:rPr>
                <w:color w:val="000000"/>
              </w:rPr>
              <w:t>(оценивается качество сбора данных и оформления/систематизации данных)</w:t>
            </w:r>
          </w:p>
          <w:p w:rsidR="00CC1ADC" w:rsidRDefault="00CC1ADC">
            <w:pPr>
              <w:rPr>
                <w:color w:val="000000"/>
              </w:rPr>
            </w:pPr>
            <w:proofErr w:type="spellStart"/>
            <w:r w:rsidRPr="00CC1ADC">
              <w:rPr>
                <w:color w:val="000000"/>
              </w:rPr>
              <w:t>О</w:t>
            </w:r>
            <w:r w:rsidRPr="00CC1ADC">
              <w:rPr>
                <w:color w:val="000000"/>
                <w:vertAlign w:val="subscript"/>
              </w:rPr>
              <w:t>ан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—</w:t>
            </w:r>
            <w:r>
              <w:rPr>
                <w:color w:val="000000"/>
              </w:rPr>
              <w:t xml:space="preserve"> анализ ситуации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— </w:t>
            </w:r>
            <w:r>
              <w:rPr>
                <w:color w:val="000000"/>
              </w:rPr>
              <w:t>оценка за качество подготовки аналитической записки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Востоковедение (Санкт-Петербург)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(Санкт-Петербург)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История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Менеджмент (з)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Культурология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Современное искусство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Цифровые методы в гуманитарных науках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Экономика впечатлений: музейный, событийный, туристический менеджмент (Пермь)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современного мира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История художественной культуры и рынок искусства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Прикладная культурология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641040" w:rsidRPr="00641040" w:rsidRDefault="00641040" w:rsidP="00641040">
            <w:pPr>
              <w:tabs>
                <w:tab w:val="left" w:pos="3759"/>
                <w:tab w:val="left" w:pos="8735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Цифровые методы в гуманитарных науках</w:t>
            </w:r>
            <w:r w:rsidRPr="0064104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ab/>
            </w:r>
          </w:p>
          <w:p w:rsidR="003579C8" w:rsidRPr="00194299" w:rsidRDefault="003579C8" w:rsidP="003579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Удаленно</w:t>
            </w:r>
          </w:p>
        </w:tc>
      </w:tr>
    </w:tbl>
    <w:p w:rsidR="00803548" w:rsidRDefault="00803548"/>
    <w:p w:rsidR="00803548" w:rsidRDefault="00803548"/>
    <w:p w:rsidR="00803548" w:rsidRDefault="00803548"/>
    <w:p w:rsidR="00803548" w:rsidRDefault="00194299">
      <w:r>
        <w:tab/>
      </w:r>
      <w:r>
        <w:tab/>
      </w:r>
    </w:p>
    <w:sectPr w:rsidR="00803548" w:rsidSect="00E71EF4">
      <w:pgSz w:w="11900" w:h="16840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6B6"/>
    <w:multiLevelType w:val="multilevel"/>
    <w:tmpl w:val="79BE016C"/>
    <w:lvl w:ilvl="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FF0591"/>
    <w:multiLevelType w:val="multilevel"/>
    <w:tmpl w:val="7CC62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D6D82"/>
    <w:multiLevelType w:val="multilevel"/>
    <w:tmpl w:val="E108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548"/>
    <w:rsid w:val="000D0BF3"/>
    <w:rsid w:val="00194299"/>
    <w:rsid w:val="003579C8"/>
    <w:rsid w:val="00641040"/>
    <w:rsid w:val="006A5298"/>
    <w:rsid w:val="007951EA"/>
    <w:rsid w:val="00803548"/>
    <w:rsid w:val="00AD268C"/>
    <w:rsid w:val="00CC1ADC"/>
    <w:rsid w:val="00D02553"/>
    <w:rsid w:val="00D96FBA"/>
    <w:rsid w:val="00E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209F"/>
  <w15:docId w15:val="{32AFFEE0-1020-4F38-8D83-4A9D651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F4"/>
  </w:style>
  <w:style w:type="paragraph" w:styleId="1">
    <w:name w:val="heading 1"/>
    <w:basedOn w:val="a"/>
    <w:next w:val="a"/>
    <w:rsid w:val="00E71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1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1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1E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71E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71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1EF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rsid w:val="00E71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71EF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jqXBkHDXBLLe5UpD07hgC7n/Q==">AMUW2mV/fxACcX0weiElTpvtePM6tCIqNNX+l6F9ebjGJ+1zb9nmarGV0ZawDJeqAA5P2BEVBl/xUfvyKKfIkHmbm7KkcQSIIGYIQRpNtqKwnVZiyau1qlMfN56lSm2AI5SkSrbEyZL3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dcterms:created xsi:type="dcterms:W3CDTF">2021-10-13T16:15:00Z</dcterms:created>
  <dcterms:modified xsi:type="dcterms:W3CDTF">2021-10-14T08:31:00Z</dcterms:modified>
</cp:coreProperties>
</file>