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2"/>
        <w:gridCol w:w="5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2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Тип проекта</w:t>
            </w:r>
          </w:p>
        </w:tc>
        <w:tc>
          <w:tcPr>
            <w:tcW w:w="5593" w:type="dxa"/>
          </w:tcPr>
          <w:p>
            <w:pPr>
              <w:rPr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И</w:t>
            </w:r>
            <w:r>
              <w:rPr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сследовательский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2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Название проекта</w:t>
            </w:r>
          </w:p>
        </w:tc>
        <w:tc>
          <w:tcPr>
            <w:tcW w:w="5593" w:type="dxa"/>
          </w:tcPr>
          <w:p>
            <w:pPr>
              <w:jc w:val="both"/>
              <w:rPr>
                <w:rFonts w:hint="default" w:ascii="Times New Roman" w:hAnsi="Times New Roman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Трансформация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институтов гражданского и арбитражного процессуального права в условиях цифровизации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2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Подразделение инициатор проекта</w:t>
            </w:r>
          </w:p>
        </w:tc>
        <w:tc>
          <w:tcPr>
            <w:tcW w:w="5593" w:type="dxa"/>
          </w:tcPr>
          <w:p>
            <w:pPr>
              <w:jc w:val="both"/>
              <w:rPr>
                <w:rFonts w:hint="default" w:ascii="Times New Roman" w:hAnsi="Times New Roman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Департамент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систем судопроизводства и уголовного права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2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Руководитель проекта</w:t>
            </w:r>
          </w:p>
        </w:tc>
        <w:tc>
          <w:tcPr>
            <w:tcW w:w="5593" w:type="dxa"/>
          </w:tcPr>
          <w:p>
            <w:pPr>
              <w:shd w:val="clear" w:color="auto" w:fill="FFFFFF"/>
              <w:jc w:val="both"/>
              <w:rPr>
                <w:rFonts w:hint="default" w:ascii="Times New Roman" w:hAnsi="Times New Roman" w:cs="Times New Roman"/>
                <w:i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Крымский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Даниил Игоревич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2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highlight w:val="none"/>
                <w:lang w:val="en-US"/>
              </w:rPr>
              <w:t>/</w:t>
            </w:r>
            <w:r>
              <w:rPr>
                <w:rFonts w:ascii="Times New Roman" w:hAnsi="Times New Roman" w:cs="Times New Roman"/>
                <w:highlight w:val="none"/>
              </w:rPr>
              <w:t xml:space="preserve"> востребованность проекта</w:t>
            </w:r>
          </w:p>
        </w:tc>
        <w:tc>
          <w:tcPr>
            <w:tcW w:w="5593" w:type="dxa"/>
          </w:tcPr>
          <w:p>
            <w:pPr>
              <w:shd w:val="clear" w:color="auto" w:fill="FFFFFF"/>
              <w:jc w:val="both"/>
              <w:rPr>
                <w:rFonts w:hint="default" w:ascii="Times New Roman" w:hAnsi="Times New Roman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Несмотря на значительное количество работ, посвящённых влиянию цифровизации (информационных технологий) в судопроизводстве, они как правило, охватывают отдельные, узкоспециализированные вопросы и не позволяют составить единое и полное представление - с учётом взаимосвязи, взаимного влияния, системности институтов процессуального права в их совокупности - о происходящей под влиянием современных технологий комплексной трансформации процессуальных институтов. Исследование в рамках проекта будет сосредоточено на нескольких направлениях, которые позволят выявить и обобщить влияние цифровых технологий как на отдельные процессуальные институты, так и на более общие вопросы развития процессуального права.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2" w:type="dxa"/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none"/>
              </w:rPr>
              <w:t>Основная проектная идея / описание решаемой проблемы</w:t>
            </w:r>
          </w:p>
        </w:tc>
        <w:tc>
          <w:tcPr>
            <w:tcW w:w="5593" w:type="dxa"/>
          </w:tcPr>
          <w:p>
            <w:pPr>
              <w:shd w:val="clear" w:color="auto" w:fill="FFFFFF"/>
              <w:jc w:val="both"/>
              <w:rPr>
                <w:rFonts w:hint="default" w:ascii="Times New Roman" w:hAnsi="Times New Roman" w:cs="Times New Roman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В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условиях развития цифровых технологий, охвативших фактически все сферы общественной жизни, необходима оценка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их влияния на отправление правосудия по гражданским и арбитражным делам. </w:t>
            </w:r>
          </w:p>
          <w:p>
            <w:pPr>
              <w:shd w:val="clear" w:color="auto" w:fill="FFFFFF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Цифровые технологии оказывают воздействие как общие начала (принципы) процесса, доступность правосудия (доступ к суду и коммуникацию с судом), так и ведут к появлению новых обособленных групп правил и алгоритмов разрешения дела (появление с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истем онлайн разрешения споров), оказывают влияние на различные формы судопроизводства (например, на упрощённые производства, которые с использованием информационных технологий ещё более «упрощаются»), могут оказывать влияние на процессуальное поведение участников (с точки зрения добросовестности при использовании процессуальных прав), </w:t>
            </w:r>
          </w:p>
          <w:p>
            <w:pPr>
              <w:shd w:val="clear" w:color="auto" w:fill="FFFFFF"/>
              <w:jc w:val="both"/>
              <w:rPr>
                <w:rFonts w:hint="default" w:ascii="Times New Roman" w:hAnsi="Times New Roman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Достижения прогресса не должны становиться препятств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ием для доступа в суд, умалять право на защиту, способствовать злоупотреблениям процессуальными правами, а, напротив, должны расширить возможности по качественному, своевременному и справедливому рассмотрению гражданских и арбитражных дел. Развитые правопорядки в настоящее время находятся в поиске баланса между современными требованиями информатизации и цифровизации и правовыми традициями, приспособлении (адаптации) новых технологий к уже сложившимся механизмам судопроизводства.</w:t>
            </w:r>
          </w:p>
          <w:p>
            <w:pPr>
              <w:numPr>
                <w:ilvl w:val="0"/>
                <w:numId w:val="0"/>
              </w:numPr>
              <w:shd w:val="clear" w:color="auto" w:fill="auto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2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593" w:type="dxa"/>
          </w:tcPr>
          <w:p>
            <w:pPr>
              <w:shd w:val="clear" w:color="auto" w:fill="FFFFFF"/>
              <w:jc w:val="both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Целью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проекта является изучение и оценка влияния (как уже состоявшегося, так и прогнозирования будущего, включая выявления потенциальных рисков) развития информационных технологий, электронного документооборота, цифровизации правосудия на отдельные институты гражданского и арбитражного судопроизводства. Такое исследование должно основываться как на российском опыте, так и на анализе научной литературы, рекомендаций, регуляторных актов зарубежных государств.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593" w:type="dxa"/>
          </w:tcPr>
          <w:p>
            <w:pPr>
              <w:jc w:val="both"/>
              <w:rPr>
                <w:rFonts w:hint="default" w:ascii="Times New Roman" w:hAnsi="Times New Roman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Результатом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проекта является обобщённое и систематизированное представление о влиянии цифровизации на гражданское и арбитражное судопроизводство, выявление направлений и механизмов совершенствования институтов, а также идентификация рисков, связанных с такой трансформацией.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593" w:type="dxa"/>
          </w:tcPr>
          <w:p>
            <w:pPr>
              <w:jc w:val="both"/>
              <w:rPr>
                <w:rFonts w:hint="default" w:ascii="Times New Roman" w:hAnsi="Times New Roman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Магистранты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программы «Юрист в правосудии и правоохранительной деятельности». Роли в проектной команде распределяются согласно тематическим блокам, указанным в проектном задании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2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Количество вакантных мест на проекте</w:t>
            </w:r>
          </w:p>
        </w:tc>
        <w:tc>
          <w:tcPr>
            <w:tcW w:w="5593" w:type="dxa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15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593" w:type="dxa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lang w:val="ru-RU"/>
              </w:rPr>
              <w:t>Проект</w:t>
            </w:r>
            <w:r>
              <w:rPr>
                <w:rFonts w:hint="default" w:ascii="Times New Roman" w:hAnsi="Times New Roman" w:cs="Times New Roman"/>
                <w:i w:val="0"/>
                <w:iCs/>
                <w:lang w:val="ru-RU"/>
              </w:rPr>
              <w:t xml:space="preserve"> предусматривает проведение исследования, охватывающего несколько тематических блоков, затрагивающих общие и специальные вопросы гражданского и арбитражного судопроизводства.</w:t>
            </w:r>
          </w:p>
          <w:p>
            <w:pPr>
              <w:jc w:val="both"/>
              <w:rPr>
                <w:rFonts w:hint="default" w:ascii="Times New Roman" w:hAnsi="Times New Roman" w:cs="Times New Roman"/>
                <w:i/>
                <w:lang w:val="ru-RU"/>
              </w:rPr>
            </w:pPr>
          </w:p>
          <w:p>
            <w:pPr>
              <w:numPr>
                <w:ilvl w:val="0"/>
                <w:numId w:val="1"/>
              </w:numPr>
              <w:ind w:leftChars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lang w:val="ru-RU"/>
              </w:rPr>
              <w:t>Трансформация общих начал (принципов) гражданского и арбитражного судопроизводства в условиях цифровизации.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В рамках этого тематического блока предлагается  исследовать вопрос о трансформации «классических» принципов гражданского судопроизводства с учётом развития информационных технологий (влияние технологий на действие принципов состязательности и равноправия сторон, диспозитивности; профессионализацию). </w:t>
            </w:r>
          </w:p>
          <w:p>
            <w:pPr>
              <w:rPr>
                <w:rFonts w:hint="default" w:ascii="Times New Roman" w:hAnsi="Times New Roman" w:cs="Times New Roman"/>
                <w:i/>
                <w:lang w:val="ru-RU"/>
              </w:rPr>
            </w:pPr>
          </w:p>
          <w:p>
            <w:pPr>
              <w:numPr>
                <w:ilvl w:val="0"/>
                <w:numId w:val="1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Системы онлайн разрешения споров по гражданским и арбитражным делам в современном судопроизводстве.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В рамках этого блока исследования предлагается провести анализ нормативного регулирования, собрать, обобщить и проанализировать открытые данные о созданных (создаваемых) и функционирующих механизмах онлайн разрешения споров (как до- и внесудебных, так и собственно судебных механизмах), публикации авторов по этим вопросам, примеры успешных кейсов (национальное право зарубежных государств), статистические данные, выявить проблемные и дискуссионные вопросы.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numPr>
                <w:ilvl w:val="0"/>
                <w:numId w:val="1"/>
              </w:numPr>
              <w:ind w:leftChars="0"/>
              <w:jc w:val="both"/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>Злоупотребление процессуальными правами по гражданским и арбитражным делам в цифровую эпоху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Предлагается на основании научных источников и практики изучить вопрос о влиянии цифровых технологий (цифровизации судопроизводства, электронного правосудия) на злоупотребления, появление новых механизмов и способов борьбы с ними. Проанализировать возможные негативные и позитивные последствия внедрения цифровизации и электронного правосудия. Возникают ли новые типы злоупотреблений, обусловленные именно цифровизацией? Упрощают ли информационные технологии совершение злоупотреблений, способствуют ли им или наоборот препятствуют? Предлагается рассмотреть доктринальные источники российской и зарубежной процессуальной теории, соответствующее законодательство и правоприменительную практику, сделать выводы.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Times New Roman" w:hAnsi="Times New Roman" w:cstheme="min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theme="minorBidi"/>
                <w:b/>
                <w:bCs/>
                <w:sz w:val="24"/>
                <w:szCs w:val="24"/>
                <w:lang w:val="ru-RU"/>
              </w:rPr>
              <w:t>Применение информационных (цифровых) технологий в упрощённых формах судопроизводства по гражданским и арбитражным делам.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Предлагается проанализировать развитие законодательства и опыт применения цифровых технологий в упрощённых производствах в России и за рубежом (на примере приказного производства, упрощённого производства и их аналогов в зарубежных странах).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Times New Roman" w:hAnsi="Times New Roman" w:cstheme="min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theme="minorBidi"/>
                <w:b/>
                <w:bCs/>
                <w:sz w:val="24"/>
                <w:szCs w:val="24"/>
                <w:lang w:val="ru-RU"/>
              </w:rPr>
              <w:t>Влияние цифровизации на доступность правосудия по гражданским и арбитражным делам.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Предлагается проанализировать текущее состояние, проблемы, риски, последствия применения  цифровых технологий при рассмотрении судами гражданских и арбитражных дел, преимущества и недостатки, сопутствующие применению этих технологий (например, проблемы «цифрового неравенства»; облегчение доступа к суду и коммуникации с судом, в том числе путем применения видеоконференц-связи и дистанционного участия в судебных заседаниях; разработка и заполнение стандартных форм и бланков документов, размещённых на сайте суда, обращение в суд в электронном виде; оплата пошлины с использованием функционала сайта судов; направление извещений через портал государственных услуг; удалённое ознакомление с материалами дела при формировании материалов дела по принципу «электронного дела» и др.). 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2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Критерии отбора студентов </w:t>
            </w:r>
          </w:p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5593" w:type="dxa"/>
          </w:tcPr>
          <w:p>
            <w:pPr>
              <w:rPr>
                <w:rFonts w:hint="default" w:ascii="Times New Roman" w:hAnsi="Times New Roman" w:cs="Times New Roman"/>
                <w:i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Интерес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к направлениям исследования, предложенным в настоящем проектном предложении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2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Сроки и график реализации проекта </w:t>
            </w:r>
          </w:p>
        </w:tc>
        <w:tc>
          <w:tcPr>
            <w:tcW w:w="5593" w:type="dxa"/>
          </w:tcPr>
          <w:p>
            <w:pPr>
              <w:rPr>
                <w:rFonts w:hint="default" w:ascii="Times New Roman" w:hAnsi="Times New Roman" w:cs="Times New Roman"/>
                <w:i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3-4 модули 2021-2022 учебного года (20 недель, 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07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i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.2022 - 2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.06.2022)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2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Трудоемкость (часы в неделю) на одного участника</w:t>
            </w:r>
          </w:p>
        </w:tc>
        <w:tc>
          <w:tcPr>
            <w:tcW w:w="5593" w:type="dxa"/>
          </w:tcPr>
          <w:p>
            <w:pPr>
              <w:rPr>
                <w:rFonts w:hint="default" w:ascii="Times New Roman" w:hAnsi="Times New Roman" w:cs="Times New Roman"/>
                <w:i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2,5 часа в неделю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2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Количество кредитов на 1 студента</w:t>
            </w:r>
          </w:p>
        </w:tc>
        <w:tc>
          <w:tcPr>
            <w:tcW w:w="5593" w:type="dxa"/>
          </w:tcPr>
          <w:p>
            <w:pPr>
              <w:rPr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2 зачётных единицы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2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Суммарное количество кредитов за проект</w:t>
            </w:r>
          </w:p>
        </w:tc>
        <w:tc>
          <w:tcPr>
            <w:tcW w:w="5593" w:type="dxa"/>
          </w:tcPr>
          <w:p>
            <w:pPr>
              <w:rPr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Указывается при необходимости для расчета преподавательской нагрузки</w:t>
            </w:r>
            <w:r>
              <w:rPr>
                <w:rStyle w:val="4"/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ootnote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593" w:type="dxa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Доклад/презентация результатов на научном семинаре Департамента систем судопроизводства и уголовного права</w:t>
            </w:r>
          </w:p>
          <w:p>
            <w:pPr>
              <w:jc w:val="both"/>
              <w:rPr>
                <w:rFonts w:hint="default" w:ascii="Times New Roman" w:hAnsi="Times New Roman" w:cs="Times New Roman"/>
                <w:i w:val="0"/>
                <w:iCs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i w:val="0"/>
                <w:iCs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Презентация результатов исследования (выступление с докладом) на конференциях (НИУ ВШЭ и внешних)</w:t>
            </w:r>
          </w:p>
          <w:p>
            <w:pPr>
              <w:jc w:val="both"/>
              <w:rPr>
                <w:rFonts w:hint="default" w:ascii="Times New Roman" w:hAnsi="Times New Roman" w:cs="Times New Roman"/>
                <w:i w:val="0"/>
                <w:iCs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i w:val="0"/>
                <w:iCs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Публикация научных статей по результатам исследования в юридических журналах</w:t>
            </w:r>
          </w:p>
          <w:p>
            <w:pPr>
              <w:jc w:val="both"/>
              <w:rPr>
                <w:rFonts w:hint="default" w:ascii="Times New Roman" w:hAnsi="Times New Roman" w:eastAsia="Times New Roman"/>
                <w:i w:val="0"/>
                <w:iCs/>
                <w:color w:val="000000"/>
                <w:sz w:val="23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i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/>
                <w:i w:val="0"/>
                <w:iCs/>
                <w:color w:val="000000"/>
                <w:sz w:val="23"/>
                <w:szCs w:val="24"/>
              </w:rPr>
              <w:t>Иные форматы результатов (обсуждается с руководителем)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593" w:type="dxa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lang w:val="ru-RU"/>
              </w:rPr>
              <w:t>При</w:t>
            </w:r>
            <w:r>
              <w:rPr>
                <w:rFonts w:hint="default" w:ascii="Times New Roman" w:hAnsi="Times New Roman" w:cs="Times New Roman"/>
                <w:i w:val="0"/>
                <w:iCs/>
                <w:lang w:val="ru-RU"/>
              </w:rPr>
              <w:t xml:space="preserve"> реализации проекта участники приобретают/развивают следующие навыки и компетенции:</w:t>
            </w:r>
          </w:p>
          <w:p>
            <w:pPr>
              <w:numPr>
                <w:ilvl w:val="0"/>
                <w:numId w:val="0"/>
              </w:numPr>
              <w:spacing w:beforeLines="0" w:afterLines="0"/>
              <w:jc w:val="both"/>
              <w:rPr>
                <w:rFonts w:hint="default" w:ascii="Times New Roman" w:hAnsi="Times New Roman" w:eastAsia="Times New Roman"/>
                <w:i w:val="0"/>
                <w:iCs/>
                <w:color w:val="000000"/>
                <w:sz w:val="23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jc w:val="both"/>
              <w:rPr>
                <w:rFonts w:hint="default" w:ascii="Times New Roman" w:hAnsi="Times New Roman" w:eastAsia="Times New Roman"/>
                <w:i w:val="0"/>
                <w:iCs/>
                <w:color w:val="000000"/>
                <w:sz w:val="23"/>
                <w:szCs w:val="24"/>
              </w:rPr>
            </w:pPr>
            <w:r>
              <w:rPr>
                <w:rFonts w:hint="default" w:ascii="Times New Roman" w:hAnsi="Times New Roman" w:eastAsia="Times New Roman"/>
                <w:i w:val="0"/>
                <w:iCs/>
                <w:color w:val="000000"/>
                <w:sz w:val="23"/>
                <w:szCs w:val="24"/>
                <w:lang w:val="ru-RU"/>
              </w:rPr>
              <w:t xml:space="preserve">Совершенствование навыков поиска, обобщения и анализа информации, </w:t>
            </w:r>
            <w:r>
              <w:rPr>
                <w:rFonts w:hint="default" w:ascii="Times New Roman" w:hAnsi="Times New Roman" w:eastAsia="Times New Roman"/>
                <w:i w:val="0"/>
                <w:iCs/>
                <w:color w:val="000000"/>
                <w:sz w:val="23"/>
                <w:szCs w:val="24"/>
              </w:rPr>
              <w:t>работ</w:t>
            </w:r>
            <w:r>
              <w:rPr>
                <w:rFonts w:hint="default" w:ascii="Times New Roman" w:hAnsi="Times New Roman" w:eastAsia="Times New Roman"/>
                <w:i w:val="0"/>
                <w:iCs/>
                <w:color w:val="000000"/>
                <w:sz w:val="23"/>
                <w:szCs w:val="24"/>
                <w:lang w:val="ru-RU"/>
              </w:rPr>
              <w:t>ы</w:t>
            </w:r>
            <w:r>
              <w:rPr>
                <w:rFonts w:hint="default" w:ascii="Times New Roman" w:hAnsi="Times New Roman" w:eastAsia="Times New Roman"/>
                <w:i w:val="0"/>
                <w:iCs/>
                <w:color w:val="000000"/>
                <w:sz w:val="23"/>
                <w:szCs w:val="24"/>
              </w:rPr>
              <w:t xml:space="preserve"> со специализированными правовыми системами (базами данных)</w:t>
            </w:r>
          </w:p>
          <w:p>
            <w:pPr>
              <w:numPr>
                <w:ilvl w:val="0"/>
                <w:numId w:val="0"/>
              </w:numPr>
              <w:spacing w:beforeLines="0" w:afterLines="0"/>
              <w:jc w:val="both"/>
              <w:rPr>
                <w:rFonts w:hint="default" w:ascii="Times New Roman" w:hAnsi="Times New Roman" w:eastAsia="Times New Roman"/>
                <w:i w:val="0"/>
                <w:iCs/>
                <w:color w:val="000000"/>
                <w:sz w:val="23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/>
                <w:i w:val="0"/>
                <w:iCs/>
                <w:color w:val="000000"/>
                <w:sz w:val="23"/>
                <w:szCs w:val="24"/>
                <w:lang w:val="ru-RU"/>
              </w:rPr>
              <w:t>Совершенствование навыков работы (поиска, отбора, анализа) с иностранными научными и практическими источниками</w:t>
            </w:r>
          </w:p>
          <w:p>
            <w:pPr>
              <w:numPr>
                <w:ilvl w:val="0"/>
                <w:numId w:val="0"/>
              </w:numPr>
              <w:spacing w:beforeLines="0" w:afterLines="0"/>
              <w:jc w:val="both"/>
              <w:rPr>
                <w:rFonts w:hint="default" w:ascii="Times New Roman" w:hAnsi="Times New Roman" w:eastAsia="Times New Roman"/>
                <w:i w:val="0"/>
                <w:iCs/>
                <w:color w:val="000000"/>
                <w:sz w:val="23"/>
                <w:szCs w:val="24"/>
              </w:rPr>
            </w:pPr>
            <w:r>
              <w:rPr>
                <w:rFonts w:hint="default" w:ascii="Times New Roman" w:hAnsi="Times New Roman" w:eastAsia="Times New Roman"/>
                <w:i w:val="0"/>
                <w:iCs/>
                <w:color w:val="000000"/>
                <w:sz w:val="23"/>
                <w:szCs w:val="24"/>
                <w:lang w:val="ru-RU"/>
              </w:rPr>
              <w:t xml:space="preserve">Совершенствование навыков </w:t>
            </w:r>
            <w:r>
              <w:rPr>
                <w:rFonts w:hint="default" w:ascii="Times New Roman" w:hAnsi="Times New Roman" w:eastAsia="Times New Roman"/>
                <w:i w:val="0"/>
                <w:iCs/>
                <w:color w:val="000000"/>
                <w:sz w:val="23"/>
                <w:szCs w:val="24"/>
              </w:rPr>
              <w:t>использ</w:t>
            </w:r>
            <w:r>
              <w:rPr>
                <w:rFonts w:hint="default" w:ascii="Times New Roman" w:hAnsi="Times New Roman" w:eastAsia="Times New Roman"/>
                <w:i w:val="0"/>
                <w:iCs/>
                <w:color w:val="000000"/>
                <w:sz w:val="23"/>
                <w:szCs w:val="24"/>
                <w:lang w:val="ru-RU"/>
              </w:rPr>
              <w:t>ования</w:t>
            </w:r>
            <w:r>
              <w:rPr>
                <w:rFonts w:hint="default" w:ascii="Times New Roman" w:hAnsi="Times New Roman" w:eastAsia="Times New Roman"/>
                <w:i w:val="0"/>
                <w:iCs/>
                <w:color w:val="000000"/>
                <w:sz w:val="23"/>
                <w:szCs w:val="24"/>
              </w:rPr>
              <w:t xml:space="preserve"> специальны</w:t>
            </w:r>
            <w:r>
              <w:rPr>
                <w:rFonts w:hint="default" w:ascii="Times New Roman" w:hAnsi="Times New Roman" w:eastAsia="Times New Roman"/>
                <w:i w:val="0"/>
                <w:iCs/>
                <w:color w:val="000000"/>
                <w:sz w:val="23"/>
                <w:szCs w:val="24"/>
                <w:lang w:val="ru-RU"/>
              </w:rPr>
              <w:t>х</w:t>
            </w:r>
            <w:r>
              <w:rPr>
                <w:rFonts w:hint="default" w:ascii="Times New Roman" w:hAnsi="Times New Roman" w:eastAsia="Times New Roman"/>
                <w:i w:val="0"/>
                <w:iCs/>
                <w:color w:val="000000"/>
                <w:sz w:val="23"/>
                <w:szCs w:val="24"/>
              </w:rPr>
              <w:t xml:space="preserve"> метод</w:t>
            </w:r>
            <w:r>
              <w:rPr>
                <w:rFonts w:hint="default" w:ascii="Times New Roman" w:hAnsi="Times New Roman" w:eastAsia="Times New Roman"/>
                <w:i w:val="0"/>
                <w:iCs/>
                <w:color w:val="000000"/>
                <w:sz w:val="23"/>
                <w:szCs w:val="24"/>
                <w:lang w:val="ru-RU"/>
              </w:rPr>
              <w:t>ов</w:t>
            </w:r>
            <w:r>
              <w:rPr>
                <w:rFonts w:hint="default" w:ascii="Times New Roman" w:hAnsi="Times New Roman" w:eastAsia="Times New Roman"/>
                <w:i w:val="0"/>
                <w:iCs/>
                <w:color w:val="000000"/>
                <w:sz w:val="23"/>
                <w:szCs w:val="24"/>
              </w:rPr>
              <w:t xml:space="preserve"> познания при анализе и обработке юридически значимой информации</w:t>
            </w:r>
          </w:p>
          <w:p>
            <w:pPr>
              <w:numPr>
                <w:ilvl w:val="0"/>
                <w:numId w:val="0"/>
              </w:numPr>
              <w:spacing w:beforeLines="0" w:afterLines="0"/>
              <w:jc w:val="both"/>
              <w:rPr>
                <w:rFonts w:hint="default" w:ascii="Times New Roman" w:hAnsi="Times New Roman" w:eastAsia="Times New Roman"/>
                <w:i w:val="0"/>
                <w:iCs/>
                <w:color w:val="000000"/>
                <w:sz w:val="23"/>
                <w:szCs w:val="24"/>
              </w:rPr>
            </w:pPr>
            <w:r>
              <w:rPr>
                <w:rFonts w:hint="default" w:ascii="Times New Roman" w:hAnsi="Times New Roman" w:eastAsia="Times New Roman"/>
                <w:i w:val="0"/>
                <w:iCs/>
                <w:color w:val="000000"/>
                <w:sz w:val="23"/>
                <w:szCs w:val="24"/>
                <w:lang w:val="ru-RU"/>
              </w:rPr>
              <w:t>Совершенствование</w:t>
            </w:r>
            <w:r>
              <w:rPr>
                <w:rFonts w:hint="default" w:ascii="Times New Roman" w:hAnsi="Times New Roman" w:eastAsia="Times New Roman"/>
                <w:i w:val="0"/>
                <w:iCs/>
                <w:color w:val="000000"/>
                <w:sz w:val="23"/>
                <w:szCs w:val="24"/>
              </w:rPr>
              <w:t xml:space="preserve"> навыков проведения аналитических исследований и формулирования исследовательских выводов (включая написание исследовательских статей) </w:t>
            </w:r>
          </w:p>
          <w:p>
            <w:pPr>
              <w:numPr>
                <w:ilvl w:val="0"/>
                <w:numId w:val="0"/>
              </w:numPr>
              <w:spacing w:beforeLines="0" w:afterLines="0"/>
              <w:jc w:val="both"/>
              <w:rPr>
                <w:rFonts w:hint="default" w:ascii="Times New Roman" w:hAnsi="Times New Roman" w:eastAsia="Times New Roman"/>
                <w:i w:val="0"/>
                <w:iCs/>
                <w:color w:val="000000"/>
                <w:sz w:val="23"/>
                <w:szCs w:val="24"/>
              </w:rPr>
            </w:pPr>
            <w:r>
              <w:rPr>
                <w:rFonts w:hint="default" w:ascii="Times New Roman" w:hAnsi="Times New Roman" w:eastAsia="Times New Roman"/>
                <w:i w:val="0"/>
                <w:iCs/>
                <w:color w:val="000000"/>
                <w:sz w:val="23"/>
                <w:szCs w:val="24"/>
                <w:lang w:val="ru-RU"/>
              </w:rPr>
              <w:t>Совершенствование</w:t>
            </w:r>
            <w:r>
              <w:rPr>
                <w:rFonts w:hint="default" w:ascii="Times New Roman" w:hAnsi="Times New Roman" w:eastAsia="Times New Roman"/>
                <w:i w:val="0"/>
                <w:iCs/>
                <w:color w:val="000000"/>
                <w:sz w:val="23"/>
                <w:szCs w:val="24"/>
              </w:rPr>
              <w:t xml:space="preserve"> навыков разработки предложений для совершенствования законодательства </w:t>
            </w:r>
          </w:p>
          <w:p>
            <w:pPr>
              <w:jc w:val="both"/>
              <w:rPr>
                <w:rFonts w:hint="default" w:ascii="Times New Roman" w:hAnsi="Times New Roman" w:cs="Times New Roman"/>
                <w:i w:val="0"/>
                <w:iCs/>
                <w:lang w:val="ru-RU"/>
              </w:rPr>
            </w:pPr>
            <w:r>
              <w:rPr>
                <w:rFonts w:hint="default" w:ascii="Times New Roman" w:hAnsi="Times New Roman" w:eastAsia="Times New Roman"/>
                <w:i w:val="0"/>
                <w:iCs/>
                <w:color w:val="000000"/>
                <w:sz w:val="23"/>
                <w:szCs w:val="24"/>
                <w:lang w:val="ru-RU"/>
              </w:rPr>
              <w:t>Совершенствование</w:t>
            </w:r>
            <w:r>
              <w:rPr>
                <w:rFonts w:hint="default" w:ascii="Times New Roman" w:hAnsi="Times New Roman" w:eastAsia="Times New Roman"/>
                <w:i w:val="0"/>
                <w:iCs/>
                <w:color w:val="000000"/>
                <w:sz w:val="23"/>
                <w:szCs w:val="24"/>
              </w:rPr>
              <w:t xml:space="preserve"> навыков разработки практических (экспертных) рекомендаций для решения конкретных прикладных задач, а также разработка стратегии их реализации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2" w:type="dxa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593" w:type="dxa"/>
          </w:tcPr>
          <w:p>
            <w:pPr>
              <w:jc w:val="both"/>
              <w:rPr>
                <w:rFonts w:hint="default"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Итоговая</w:t>
            </w:r>
            <w:r>
              <w:rPr>
                <w:rFonts w:hint="default" w:ascii="Times New Roman" w:hAnsi="Times New Roman" w:cs="Times New Roman"/>
                <w:i/>
                <w:lang w:val="ru-RU"/>
              </w:rPr>
              <w:t xml:space="preserve"> оценка работы по проекту складывается из:</w:t>
            </w:r>
          </w:p>
          <w:p>
            <w:pPr>
              <w:jc w:val="both"/>
              <w:rPr>
                <w:rFonts w:hint="default" w:ascii="Times New Roman" w:hAnsi="Times New Roman" w:cs="Times New Roman"/>
                <w:i/>
                <w:lang w:val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i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lang w:val="ru-RU"/>
              </w:rPr>
              <w:t>0,6</w:t>
            </w:r>
            <w:r>
              <w:rPr>
                <w:rFonts w:hint="default" w:ascii="Times New Roman" w:hAnsi="Times New Roman" w:cs="Times New Roman"/>
                <w:i/>
                <w:lang w:val="ru-RU"/>
              </w:rPr>
              <w:t xml:space="preserve"> - оценка за подготовленную статью (окончательный/чистовой вариант полного текста статьи; требования к объёму и оформлению текста статьи определяются руководителем проекта либо в случае подготовки и направления статьи непосредственно на публикацию в конкретное издательство - в соответствии с предъявляемыми издательством требованиям к статьям)</w:t>
            </w:r>
          </w:p>
          <w:p>
            <w:pPr>
              <w:jc w:val="both"/>
              <w:rPr>
                <w:rFonts w:hint="default" w:ascii="Times New Roman" w:hAnsi="Times New Roman" w:cs="Times New Roman"/>
                <w:i/>
                <w:lang w:val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i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lang w:val="ru-RU"/>
              </w:rPr>
              <w:t>0,4</w:t>
            </w:r>
            <w:r>
              <w:rPr>
                <w:rFonts w:hint="default" w:ascii="Times New Roman" w:hAnsi="Times New Roman" w:cs="Times New Roman"/>
                <w:i/>
                <w:lang w:val="ru-RU"/>
              </w:rPr>
              <w:t xml:space="preserve"> - оценка за доклад на научном мероприятии (в т.ч. семинаре Департамента, конференциях НИУ ВШЭ, внешних мероприятиях, конференциях), подтверждённый документально (программа участников мероприятия, тезисы, ссылка на материалы конференции и т.д.)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593" w:type="dxa"/>
          </w:tcPr>
          <w:p>
            <w:pPr>
              <w:rPr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2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Рекомендуемые образовательные программы</w:t>
            </w:r>
          </w:p>
        </w:tc>
        <w:tc>
          <w:tcPr>
            <w:tcW w:w="5593" w:type="dxa"/>
          </w:tcPr>
          <w:p>
            <w:pPr>
              <w:rPr>
                <w:rFonts w:hint="default" w:ascii="Times New Roman" w:hAnsi="Times New Roman" w:cs="Times New Roman"/>
                <w:i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Магистерская программа «Юрист в правосудии и правоохранительной деятельности»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2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Территория</w:t>
            </w:r>
          </w:p>
        </w:tc>
        <w:tc>
          <w:tcPr>
            <w:tcW w:w="5593" w:type="dxa"/>
          </w:tcPr>
          <w:p>
            <w:pPr>
              <w:rPr>
                <w:rFonts w:hint="default" w:ascii="Times New Roman" w:hAnsi="Times New Roman" w:cs="Times New Roman"/>
                <w:i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Москва</w:t>
            </w:r>
          </w:p>
        </w:tc>
      </w:tr>
    </w:tbl>
    <w:p/>
    <w:sectPr>
      <w:pgSz w:w="11900" w:h="16840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Microsoft YaHe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7"/>
        <w:jc w:val="both"/>
      </w:pPr>
      <w:r>
        <w:rPr>
          <w:rStyle w:val="4"/>
        </w:rPr>
        <w:footnoteRef/>
      </w:r>
      <w:r>
        <w:t xml:space="preserve"> Формула расчета суммарных кредитов подробно описана в приложении 4 к Положению о практической подготовке студентов НИУ ВШЭ: </w:t>
      </w:r>
      <w:r>
        <w:fldChar w:fldCharType="begin"/>
      </w:r>
      <w:r>
        <w:instrText xml:space="preserve"> HYPERLINK "https://www.hse.ru/docs/490476951.html" </w:instrText>
      </w:r>
      <w:r>
        <w:fldChar w:fldCharType="separate"/>
      </w:r>
      <w:r>
        <w:rPr>
          <w:rStyle w:val="5"/>
        </w:rPr>
        <w:t>https://www.hse.ru/docs/490476951.html</w:t>
      </w:r>
      <w:r>
        <w:rPr>
          <w:rStyle w:val="5"/>
        </w:rPr>
        <w:fldChar w:fldCharType="end"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44F3D3"/>
    <w:multiLevelType w:val="singleLevel"/>
    <w:tmpl w:val="4744F3D3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08"/>
  <w:characterSpacingControl w:val="doNotCompress"/>
  <w:footnotePr>
    <w:footnote w:id="2"/>
    <w:footnote w:id="3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7121A"/>
    <w:rsid w:val="003D53CE"/>
    <w:rsid w:val="003E3254"/>
    <w:rsid w:val="00400C0B"/>
    <w:rsid w:val="00405F86"/>
    <w:rsid w:val="004678F7"/>
    <w:rsid w:val="004C1D36"/>
    <w:rsid w:val="004D627D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  <w:rsid w:val="03C35351"/>
    <w:rsid w:val="04C73593"/>
    <w:rsid w:val="05674250"/>
    <w:rsid w:val="0A3A0D87"/>
    <w:rsid w:val="0B2079D1"/>
    <w:rsid w:val="0BB01911"/>
    <w:rsid w:val="0EFC0B27"/>
    <w:rsid w:val="10673DE9"/>
    <w:rsid w:val="18881D03"/>
    <w:rsid w:val="190E26B8"/>
    <w:rsid w:val="1A3237A3"/>
    <w:rsid w:val="1A8D748B"/>
    <w:rsid w:val="21E60590"/>
    <w:rsid w:val="249B441C"/>
    <w:rsid w:val="262B7603"/>
    <w:rsid w:val="2699701B"/>
    <w:rsid w:val="29B452E5"/>
    <w:rsid w:val="2A6D6163"/>
    <w:rsid w:val="2D070B95"/>
    <w:rsid w:val="2D4D3F3F"/>
    <w:rsid w:val="30723DE7"/>
    <w:rsid w:val="328011B5"/>
    <w:rsid w:val="399F46DC"/>
    <w:rsid w:val="3B2C3262"/>
    <w:rsid w:val="3BD81B79"/>
    <w:rsid w:val="3F5329AC"/>
    <w:rsid w:val="440358FC"/>
    <w:rsid w:val="45741855"/>
    <w:rsid w:val="4C8F6934"/>
    <w:rsid w:val="4EB31851"/>
    <w:rsid w:val="4EFD2B95"/>
    <w:rsid w:val="4F996250"/>
    <w:rsid w:val="5017279C"/>
    <w:rsid w:val="525A552D"/>
    <w:rsid w:val="52F63214"/>
    <w:rsid w:val="5DE27D81"/>
    <w:rsid w:val="60C85A40"/>
    <w:rsid w:val="615E7928"/>
    <w:rsid w:val="629302C0"/>
    <w:rsid w:val="65CF2944"/>
    <w:rsid w:val="68C9715E"/>
    <w:rsid w:val="6FD33844"/>
    <w:rsid w:val="79601AC4"/>
    <w:rsid w:val="7D8C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qFormat/>
    <w:uiPriority w:val="99"/>
    <w:rPr>
      <w:vertAlign w:val="superscript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footnote text"/>
    <w:basedOn w:val="1"/>
    <w:link w:val="10"/>
    <w:semiHidden/>
    <w:unhideWhenUsed/>
    <w:qFormat/>
    <w:uiPriority w:val="99"/>
    <w:rPr>
      <w:sz w:val="20"/>
      <w:szCs w:val="20"/>
    </w:rPr>
  </w:style>
  <w:style w:type="table" w:styleId="8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99"/>
    <w:pPr>
      <w:ind w:left="720"/>
      <w:contextualSpacing/>
    </w:pPr>
  </w:style>
  <w:style w:type="character" w:customStyle="1" w:styleId="10">
    <w:name w:val="Текст сноски Знак"/>
    <w:basedOn w:val="2"/>
    <w:link w:val="7"/>
    <w:semiHidden/>
    <w:qFormat/>
    <w:uiPriority w:val="99"/>
    <w:rPr>
      <w:sz w:val="20"/>
      <w:szCs w:val="20"/>
    </w:rPr>
  </w:style>
  <w:style w:type="paragraph" w:customStyle="1" w:styleId="11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 w:cstheme="minorBidi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4235AE-2FB3-4584-9E9E-858484636F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218</Words>
  <Characters>1243</Characters>
  <Lines>10</Lines>
  <Paragraphs>2</Paragraphs>
  <TotalTime>37</TotalTime>
  <ScaleCrop>false</ScaleCrop>
  <LinksUpToDate>false</LinksUpToDate>
  <CharactersWithSpaces>1459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2015-06-17T12:15:00Z</dcterms:created>
  <dc:creator>user</dc:creator>
  <cp:lastModifiedBy>google1586431180</cp:lastModifiedBy>
  <dcterms:modified xsi:type="dcterms:W3CDTF">2022-01-29T13:32:44Z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9D5DF54B83AB4903A23D1B3BB74BBEE4</vt:lpwstr>
  </property>
</Properties>
</file>