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овый блок"/>
        <w:jc w:val="center"/>
        <w:rPr>
          <w:rFonts w:ascii="Times New Roman" w:cs="Times New Roman" w:hAnsi="Times New Roman" w:eastAsia="Times New Roman"/>
          <w:b w:val="1"/>
          <w:bCs w:val="1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Проектное предложение</w:t>
      </w:r>
    </w:p>
    <w:p>
      <w:pPr>
        <w:pStyle w:val="Текстовый блок"/>
        <w:jc w:val="center"/>
        <w:rPr>
          <w:rFonts w:ascii="Times New Roman" w:cs="Times New Roman" w:hAnsi="Times New Roman" w:eastAsia="Times New Roman"/>
          <w:sz w:val="22"/>
          <w:szCs w:val="22"/>
        </w:rPr>
      </w:pPr>
    </w:p>
    <w:tbl>
      <w:tblPr>
        <w:tblW w:w="8907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768"/>
        <w:gridCol w:w="6139"/>
      </w:tblGrid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2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Тип проекта</w:t>
            </w:r>
          </w:p>
        </w:tc>
        <w:tc>
          <w:tcPr>
            <w:tcW w:type="dxa" w:w="6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Прикладной</w:t>
            </w:r>
          </w:p>
        </w:tc>
      </w:tr>
      <w:tr>
        <w:tblPrEx>
          <w:shd w:val="clear" w:color="auto" w:fill="ceddeb"/>
        </w:tblPrEx>
        <w:trPr>
          <w:trHeight w:val="1026" w:hRule="atLeast"/>
        </w:trPr>
        <w:tc>
          <w:tcPr>
            <w:tcW w:type="dxa" w:w="2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Название проекта</w:t>
            </w:r>
          </w:p>
        </w:tc>
        <w:tc>
          <w:tcPr>
            <w:tcW w:type="dxa" w:w="6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Техническая доработка спецпроекта 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Центральные банки и другие финансовые регуляторы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как они работают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?"</w:t>
            </w:r>
          </w:p>
        </w:tc>
      </w:tr>
      <w:tr>
        <w:tblPrEx>
          <w:shd w:val="clear" w:color="auto" w:fill="ceddeb"/>
        </w:tblPrEx>
        <w:trPr>
          <w:trHeight w:val="808" w:hRule="atLeast"/>
        </w:trPr>
        <w:tc>
          <w:tcPr>
            <w:tcW w:type="dxa" w:w="2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Подразделение инициатор проекта</w:t>
            </w:r>
          </w:p>
        </w:tc>
        <w:tc>
          <w:tcPr>
            <w:tcW w:type="dxa" w:w="6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Институт медиа НИУ ВШЭ</w:t>
            </w:r>
          </w:p>
        </w:tc>
      </w:tr>
      <w:tr>
        <w:tblPrEx>
          <w:shd w:val="clear" w:color="auto" w:fill="ceddeb"/>
        </w:tblPrEx>
        <w:trPr>
          <w:trHeight w:val="708" w:hRule="atLeast"/>
        </w:trPr>
        <w:tc>
          <w:tcPr>
            <w:tcW w:type="dxa" w:w="2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Руководитель</w:t>
            </w:r>
          </w:p>
        </w:tc>
        <w:tc>
          <w:tcPr>
            <w:tcW w:type="dxa" w:w="6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Зеленцов Михаил Владимирович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Институт медиа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deb"/>
        </w:tblPrEx>
        <w:trPr>
          <w:trHeight w:val="2100" w:hRule="atLeast"/>
        </w:trPr>
        <w:tc>
          <w:tcPr>
            <w:tcW w:type="dxa" w:w="2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Основная проектная идея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описание решаемой проблемы</w:t>
            </w:r>
          </w:p>
        </w:tc>
        <w:tc>
          <w:tcPr>
            <w:tcW w:type="dxa" w:w="6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  <w:jc w:val="both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Техническая проработка карты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фона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видеоконтента уже действующего просветительского мультимедиа проекта «Центральные банки и другие финансовые регуляторы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как они работают» 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de-DE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de-DE"/>
                <w14:textFill>
                  <w14:solidFill>
                    <w14:srgbClr w14:val="0000FF"/>
                  </w14:solidFill>
                </w14:textFill>
              </w:rPr>
              <w:instrText xml:space="preserve"> HYPERLINK "https://whatiscentralbank.hse.ru/"</w:instrText>
            </w:r>
            <w:r>
              <w:rPr>
                <w:rStyle w:val="Hyperlink.0"/>
                <w:rFonts w:ascii="Times New Roman" w:cs="Times New Roman" w:hAnsi="Times New Roman" w:eastAsia="Times New Roman"/>
                <w:outline w:val="0"/>
                <w:color w:val="0000ff"/>
                <w:u w:val="single" w:color="0000ff"/>
                <w:shd w:val="nil" w:color="auto" w:fill="auto"/>
                <w:lang w:val="de-DE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outline w:val="0"/>
                <w:color w:val="0000ff"/>
                <w:u w:val="single" w:color="0000ff"/>
                <w:shd w:val="nil" w:color="auto" w:fill="auto"/>
                <w:rtl w:val="0"/>
                <w:lang w:val="de-DE"/>
                <w14:textFill>
                  <w14:solidFill>
                    <w14:srgbClr w14:val="0000FF"/>
                  </w14:solidFill>
                </w14:textFill>
              </w:rPr>
              <w:t>https://whatiscentralbank.hse.ru/</w:t>
            </w:r>
            <w:r>
              <w:rPr/>
              <w:fldChar w:fldCharType="end" w:fldLock="0"/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который был создан студентами на базе департамента медиа и базовой кафедры Банка России НИУ ВШЭ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1026" w:hRule="atLeast"/>
        </w:trPr>
        <w:tc>
          <w:tcPr>
            <w:tcW w:type="dxa" w:w="2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Цель проекта</w:t>
            </w:r>
          </w:p>
        </w:tc>
        <w:tc>
          <w:tcPr>
            <w:tcW w:type="dxa" w:w="6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hd w:val="clear" w:color="auto" w:fill="ffffff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Проработать отдельные визуальные элементы действующего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подготовить проект к выдвижению на конкурсы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премии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сделать необходимые бэкапы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deb"/>
        </w:tblPrEx>
        <w:trPr>
          <w:trHeight w:val="1384" w:hRule="atLeast"/>
        </w:trPr>
        <w:tc>
          <w:tcPr>
            <w:tcW w:type="dxa" w:w="2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Планируемые результаты проекта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специальные или функциональные требования к результату</w:t>
            </w:r>
          </w:p>
        </w:tc>
        <w:tc>
          <w:tcPr>
            <w:tcW w:type="dxa" w:w="6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Отредактированный спецпроект с новыми видеоэлементами и отредактированной интерактивной картой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deb"/>
        </w:tblPrEx>
        <w:trPr>
          <w:trHeight w:val="3183" w:hRule="atLeast"/>
        </w:trPr>
        <w:tc>
          <w:tcPr>
            <w:tcW w:type="dxa" w:w="2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type="dxa" w:w="6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Участники проекта должны иметь общее представление о системе деловых медиа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разнообразии мультимедийных форматов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должны понимать правила построения журналистского текста и тенденции развития социальных медиа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ru-RU"/>
              </w:rPr>
              <w:t>часть студентов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 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которые претендуют на работу в мультимедиа редакции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обязаны знать основные цифровые программы верстки и мастеринга сайтов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аудио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видеомонтажа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Сетка таблицы1"/>
              <w:bidi w:val="0"/>
              <w:spacing w:line="288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Готовы работать в команде на результат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. </w:t>
            </w:r>
          </w:p>
        </w:tc>
      </w:tr>
      <w:tr>
        <w:tblPrEx>
          <w:shd w:val="clear" w:color="auto" w:fill="ceddeb"/>
        </w:tblPrEx>
        <w:trPr>
          <w:trHeight w:val="708" w:hRule="atLeast"/>
        </w:trPr>
        <w:tc>
          <w:tcPr>
            <w:tcW w:type="dxa" w:w="2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вакантных мест на проекте</w:t>
            </w:r>
          </w:p>
        </w:tc>
        <w:tc>
          <w:tcPr>
            <w:tcW w:type="dxa" w:w="6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10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человек</w:t>
            </w:r>
          </w:p>
        </w:tc>
      </w:tr>
      <w:tr>
        <w:tblPrEx>
          <w:shd w:val="clear" w:color="auto" w:fill="ceddeb"/>
        </w:tblPrEx>
        <w:trPr>
          <w:trHeight w:val="1210" w:hRule="atLeast"/>
        </w:trPr>
        <w:tc>
          <w:tcPr>
            <w:tcW w:type="dxa" w:w="2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Проектное задание </w:t>
            </w:r>
          </w:p>
        </w:tc>
        <w:tc>
          <w:tcPr>
            <w:tcW w:type="dxa" w:w="6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"/>
              </w:numPr>
              <w:rPr>
                <w:lang w:val="ru-RU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Отредактировать интерактивную карту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ru-RU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Подобрать новый фон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 xml:space="preserve">. 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ru-RU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Сделать бэкапы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  <w:p>
            <w:pPr>
              <w:pStyle w:val="List Paragraph"/>
              <w:numPr>
                <w:ilvl w:val="0"/>
                <w:numId w:val="1"/>
              </w:numPr>
              <w:bidi w:val="0"/>
              <w:ind w:right="0"/>
              <w:jc w:val="left"/>
              <w:rPr>
                <w:rtl w:val="0"/>
                <w:lang w:val="ru-RU"/>
              </w:rPr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Открыть страницу проекта в ВК</w:t>
            </w:r>
            <w:r>
              <w:rPr>
                <w:rStyle w:val="Нет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1384" w:hRule="atLeast"/>
        </w:trPr>
        <w:tc>
          <w:tcPr>
            <w:tcW w:type="dxa" w:w="2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Критерии отбора студентов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применяются в случае большого количества заявок на проект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6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  <w:lang w:val="ru-RU"/>
              </w:rPr>
            </w:pPr>
          </w:p>
          <w:p>
            <w:pPr>
              <w:pStyle w:val="Сетка таблицы1"/>
              <w:numPr>
                <w:ilvl w:val="0"/>
                <w:numId w:val="2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опыт верстки мультимедийных лонгридов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Сетка таблицы1"/>
              <w:numPr>
                <w:ilvl w:val="0"/>
                <w:numId w:val="2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опыт производства фото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видеоконтента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2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опыт продвижения в социальных медиа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1076" w:hRule="atLeast"/>
        </w:trPr>
        <w:tc>
          <w:tcPr>
            <w:tcW w:type="dxa" w:w="2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Сроки и график реализации проекта </w:t>
            </w:r>
          </w:p>
        </w:tc>
        <w:tc>
          <w:tcPr>
            <w:tcW w:type="dxa" w:w="6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сентября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- 25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сентября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2022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года</w:t>
            </w:r>
          </w:p>
        </w:tc>
      </w:tr>
      <w:tr>
        <w:tblPrEx>
          <w:shd w:val="clear" w:color="auto" w:fill="ceddeb"/>
        </w:tblPrEx>
        <w:trPr>
          <w:trHeight w:val="1106" w:hRule="atLeast"/>
        </w:trPr>
        <w:tc>
          <w:tcPr>
            <w:tcW w:type="dxa" w:w="2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Трудоемкость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часы в неделю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на одного участника</w:t>
            </w:r>
          </w:p>
        </w:tc>
        <w:tc>
          <w:tcPr>
            <w:tcW w:type="dxa" w:w="6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1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5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 часов в неделю</w:t>
            </w:r>
          </w:p>
        </w:tc>
      </w:tr>
      <w:tr>
        <w:tblPrEx>
          <w:shd w:val="clear" w:color="auto" w:fill="ceddeb"/>
        </w:tblPrEx>
        <w:trPr>
          <w:trHeight w:val="748" w:hRule="atLeast"/>
        </w:trPr>
        <w:tc>
          <w:tcPr>
            <w:tcW w:type="dxa" w:w="2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Количество кредитов</w:t>
            </w:r>
          </w:p>
        </w:tc>
        <w:tc>
          <w:tcPr>
            <w:tcW w:type="dxa" w:w="6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deb"/>
        </w:tblPrEx>
        <w:trPr>
          <w:trHeight w:val="748" w:hRule="atLeast"/>
        </w:trPr>
        <w:tc>
          <w:tcPr>
            <w:tcW w:type="dxa" w:w="2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Форма итогового контроля</w:t>
            </w:r>
          </w:p>
        </w:tc>
        <w:tc>
          <w:tcPr>
            <w:tcW w:type="dxa" w:w="6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Экзамен</w:t>
            </w:r>
          </w:p>
        </w:tc>
      </w:tr>
      <w:tr>
        <w:tblPrEx>
          <w:shd w:val="clear" w:color="auto" w:fill="ceddeb"/>
        </w:tblPrEx>
        <w:trPr>
          <w:trHeight w:val="1026" w:hRule="atLeast"/>
        </w:trPr>
        <w:tc>
          <w:tcPr>
            <w:tcW w:type="dxa" w:w="2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Формат представления результатов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который подлежит оцениванию</w:t>
            </w:r>
          </w:p>
        </w:tc>
        <w:tc>
          <w:tcPr>
            <w:tcW w:type="dxa" w:w="6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Непосредственно сам мультимедиа проект</w:t>
            </w:r>
          </w:p>
        </w:tc>
      </w:tr>
      <w:tr>
        <w:tblPrEx>
          <w:shd w:val="clear" w:color="auto" w:fill="ceddeb"/>
        </w:tblPrEx>
        <w:trPr>
          <w:trHeight w:val="3531" w:hRule="atLeast"/>
        </w:trPr>
        <w:tc>
          <w:tcPr>
            <w:tcW w:type="dxa" w:w="2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Образовательные результаты проекта </w:t>
            </w:r>
          </w:p>
        </w:tc>
        <w:tc>
          <w:tcPr>
            <w:tcW w:type="dxa" w:w="6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  <w:rPr>
                <w:rStyle w:val="Нет"/>
                <w:rFonts w:ascii="Times New Roman" w:cs="Times New Roman" w:hAnsi="Times New Roman" w:eastAsia="Times New Roman"/>
                <w:shd w:val="nil" w:color="auto" w:fill="auto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Участники проекта научатся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</w:p>
          <w:p>
            <w:pPr>
              <w:pStyle w:val="Сетка таблицы1"/>
              <w:numPr>
                <w:ilvl w:val="0"/>
                <w:numId w:val="3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верстать мультимедийный проект на определенной технологической платформе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Сетка таблицы1"/>
              <w:numPr>
                <w:ilvl w:val="0"/>
                <w:numId w:val="3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редактировать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монтировать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фото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видеоматериалы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Сетка таблицы1"/>
              <w:numPr>
                <w:ilvl w:val="0"/>
                <w:numId w:val="3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снимать видеосюжеты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Сетка таблицы1"/>
              <w:numPr>
                <w:ilvl w:val="0"/>
                <w:numId w:val="3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сформируют понимание продвижения контента в ведущих социальных медиа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; </w:t>
            </w:r>
          </w:p>
          <w:p>
            <w:pPr>
              <w:pStyle w:val="Сетка таблицы1"/>
              <w:numPr>
                <w:ilvl w:val="0"/>
                <w:numId w:val="3"/>
              </w:numPr>
              <w:bidi w:val="0"/>
              <w:spacing w:line="288" w:lineRule="auto"/>
              <w:ind w:right="0"/>
              <w:jc w:val="left"/>
              <w:rPr>
                <w:rFonts w:ascii="Times New Roman" w:hAnsi="Times New Roman" w:hint="default"/>
                <w:rtl w:val="0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получат опыт работы в команде по производству новостного и мультимедийного контента профильного назначения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1384" w:hRule="atLeast"/>
        </w:trPr>
        <w:tc>
          <w:tcPr>
            <w:tcW w:type="dxa" w:w="2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type="dxa" w:w="6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Достижение результата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экзамен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deb"/>
        </w:tblPrEx>
        <w:trPr>
          <w:trHeight w:val="5361" w:hRule="atLeast"/>
        </w:trPr>
        <w:tc>
          <w:tcPr>
            <w:tcW w:type="dxa" w:w="2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Рекомендуемые образовательные программы</w:t>
            </w:r>
          </w:p>
        </w:tc>
        <w:tc>
          <w:tcPr>
            <w:tcW w:type="dxa" w:w="6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ru-RU"/>
              </w:rPr>
              <w:t>ОП бакалавриата и магистратуры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Журналистика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Медиакоммуникации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Реклама и связи с общественностью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Маркетинг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Управление бизнесом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Маркетинг и рыночная аналитика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Менеджмент в СМИ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Медиаменеджмент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Журналистика данных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Производство новостей в международной среде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Критические медиаисследования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Интегрированные коммуникации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Визуальная культура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Современная журналистика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Медиаменеджмент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Трансмедийное производство в цифровых индустриях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Экономика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Экономика и статистика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Мировая экономика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Финансовые рынки и финансовые институты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Коммуникации в государственных структурах и НКО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Кинопроизводство в мультиплатформенной среде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Государственное и муниципальное управление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Управление в креативных индустриях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Стратегия и продюсирование в коммуникациях</w:t>
            </w:r>
          </w:p>
        </w:tc>
      </w:tr>
      <w:tr>
        <w:tblPrEx>
          <w:shd w:val="clear" w:color="auto" w:fill="ceddeb"/>
        </w:tblPrEx>
        <w:trPr>
          <w:trHeight w:val="460" w:hRule="atLeast"/>
        </w:trPr>
        <w:tc>
          <w:tcPr>
            <w:tcW w:type="dxa" w:w="27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spacing w:line="288" w:lineRule="auto"/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Территория</w:t>
            </w:r>
          </w:p>
        </w:tc>
        <w:tc>
          <w:tcPr>
            <w:tcW w:type="dxa" w:w="61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етка таблицы1"/>
              <w:numPr>
                <w:ilvl w:val="0"/>
                <w:numId w:val="4"/>
              </w:numPr>
              <w:spacing w:line="288" w:lineRule="auto"/>
              <w:rPr>
                <w:rFonts w:ascii="Times New Roman" w:hAnsi="Times New Roman" w:hint="default"/>
                <w:lang w:val="ru-RU"/>
              </w:rPr>
            </w:pP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 xml:space="preserve">Офлайн и онлайн 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Москва</w:t>
            </w:r>
            <w:r>
              <w:rPr>
                <w:rStyle w:val="Нет"/>
                <w:rFonts w:ascii="Times New Roman" w:hAnsi="Times New Roman"/>
                <w:shd w:val="nil" w:color="auto" w:fill="auto"/>
                <w:rtl w:val="0"/>
                <w:lang w:val="ru-RU"/>
              </w:rPr>
              <w:t>)</w:t>
            </w:r>
          </w:p>
        </w:tc>
      </w:tr>
    </w:tbl>
    <w:p>
      <w:pPr>
        <w:pStyle w:val="Текстовый блок"/>
        <w:widowControl w:val="0"/>
        <w:ind w:left="540" w:hanging="540"/>
        <w:jc w:val="center"/>
        <w:rPr>
          <w:rStyle w:val="Нет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Текстовый блок"/>
        <w:widowControl w:val="0"/>
        <w:ind w:left="432" w:hanging="432"/>
        <w:jc w:val="center"/>
        <w:rPr>
          <w:rStyle w:val="Нет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Текстовый блок"/>
        <w:widowControl w:val="0"/>
        <w:ind w:left="324" w:hanging="324"/>
        <w:jc w:val="center"/>
        <w:rPr>
          <w:rStyle w:val="Нет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Текстовый блок"/>
        <w:widowControl w:val="0"/>
        <w:ind w:left="216" w:hanging="216"/>
        <w:jc w:val="center"/>
        <w:rPr>
          <w:rStyle w:val="Нет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Текстовый блок"/>
        <w:widowControl w:val="0"/>
        <w:ind w:left="108" w:hanging="108"/>
        <w:jc w:val="center"/>
        <w:rPr>
          <w:rStyle w:val="Нет"/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Текстовый блок"/>
        <w:widowControl w:val="0"/>
        <w:jc w:val="center"/>
      </w:pPr>
      <w:r>
        <w:rPr>
          <w:rStyle w:val="Нет"/>
          <w:rFonts w:ascii="Times New Roman" w:cs="Times New Roman" w:hAnsi="Times New Roman" w:eastAsia="Times New Roman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−"/>
      <w:lvlJc w:val="left"/>
      <w:pPr>
        <w:ind w:left="39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1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3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5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7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9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1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3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5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−"/>
      <w:lvlJc w:val="left"/>
      <w:pPr>
        <w:ind w:left="39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7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9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1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3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5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7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9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13" w:hanging="39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Сетка таблицы1">
    <w:name w:val="Сетка таблицы1"/>
    <w:next w:val="Сетка таблицы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outline w:val="0"/>
      <w:color w:val="0000ff"/>
      <w:u w:val="single" w:color="0000ff"/>
      <w:shd w:val="nil" w:color="auto" w:fill="auto"/>
      <w:lang w:val="de-DE"/>
      <w14:textFill>
        <w14:solidFill>
          <w14:srgbClr w14:val="0000FF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