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1259060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614FA43" w:rsidR="008756F6" w:rsidRPr="00CC6804" w:rsidRDefault="00CC68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757425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2D05A36" w:rsidR="00C851B3" w:rsidRPr="00CC6804" w:rsidRDefault="000B10A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Наименование</w:t>
            </w:r>
            <w:r w:rsidR="00C86B47"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3E811CE" w:rsidR="00C86B47" w:rsidRPr="00F86190" w:rsidRDefault="00F861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Подготовка про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филей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стран Африки для сайта Центра изучения Африки НИУ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7574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7988A13" w:rsidR="00C86B47" w:rsidRPr="00CC6804" w:rsidRDefault="00E655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Центр изучения Африки (</w:t>
            </w:r>
            <w:r w:rsidR="00625622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департамент зарубежного регионоведения, </w:t>
            </w: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факультет мировой экономики и мировой политики)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7574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008EED7" w:rsidR="00C86B47" w:rsidRPr="00CC6804" w:rsidRDefault="00013EB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Маслов Андрей Александрович, директор Центра изучения Африки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757425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место работы руководителя </w:t>
            </w: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проекта </w:t>
            </w: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НИУ ВШЭ</w:t>
            </w:r>
          </w:p>
        </w:tc>
        <w:tc>
          <w:tcPr>
            <w:tcW w:w="5070" w:type="dxa"/>
          </w:tcPr>
          <w:p w14:paraId="2D0C8B61" w14:textId="55DBDD75" w:rsidR="001E44E9" w:rsidRPr="00CC6804" w:rsidRDefault="009233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Центр изучения Африки</w:t>
            </w:r>
          </w:p>
        </w:tc>
      </w:tr>
      <w:tr w:rsidR="00013EB7" w:rsidRPr="00146912" w14:paraId="3E471A28" w14:textId="77777777" w:rsidTr="00135E29">
        <w:tc>
          <w:tcPr>
            <w:tcW w:w="4275" w:type="dxa"/>
          </w:tcPr>
          <w:p w14:paraId="56F9DB4E" w14:textId="77777777" w:rsidR="00013EB7" w:rsidRPr="00757425" w:rsidRDefault="00013EB7" w:rsidP="00013EB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EF773B2" w:rsidR="00013EB7" w:rsidRPr="00CC6804" w:rsidRDefault="00013EB7" w:rsidP="00013EB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aa.maslov@hse.ru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7574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357C7F53" w14:textId="33B7CE47" w:rsidR="000B10AC" w:rsidRDefault="000B10AC" w:rsidP="0000796A">
            <w:pPr>
              <w:shd w:val="clear" w:color="auto" w:fill="FFFFFF"/>
              <w:spacing w:line="240" w:lineRule="auto"/>
              <w:ind w:firstLine="286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0B10A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связи с текущей внешнеполитической обстановкой ожидается рост интереса со стороны российских компаний к возможностям для экспорта товаров и услуг и рост спроса на оценку основных проблем развития африканских стран. </w:t>
            </w:r>
            <w:r w:rsidR="0000796A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В связи с этим Центр изучения Африки готовит реестр </w:t>
            </w:r>
            <w:r w:rsidR="00F86190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профил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ей</w:t>
            </w:r>
            <w:r w:rsidR="0000796A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стран Африки.</w:t>
            </w:r>
          </w:p>
          <w:p w14:paraId="023B5190" w14:textId="7AAFCC77" w:rsidR="0000796A" w:rsidRPr="00355EEF" w:rsidRDefault="0000796A" w:rsidP="00355EEF">
            <w:pPr>
              <w:shd w:val="clear" w:color="auto" w:fill="FFFFFF"/>
              <w:spacing w:line="240" w:lineRule="auto"/>
              <w:ind w:firstLine="286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00796A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Даже наиболее развитые государства Африки (такие как ЮАР или Алжир) остаются информационно непрозрачными, для оценки рисков реализации того или иного проекта необходим всесторонний анализ параметров, многие из которых </w:t>
            </w:r>
            <w:proofErr w:type="spellStart"/>
            <w:r w:rsidRPr="0000796A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несчислимы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. </w:t>
            </w:r>
            <w:r w:rsidR="00F86190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Профили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дадут основание для оценки возможностей для сотрудничества с африканскими странами.</w:t>
            </w:r>
          </w:p>
        </w:tc>
      </w:tr>
      <w:tr w:rsidR="00F86190" w:rsidRPr="00146912" w14:paraId="408A462A" w14:textId="77777777" w:rsidTr="0000796A">
        <w:trPr>
          <w:trHeight w:val="445"/>
        </w:trPr>
        <w:tc>
          <w:tcPr>
            <w:tcW w:w="4275" w:type="dxa"/>
          </w:tcPr>
          <w:p w14:paraId="0737FEAF" w14:textId="77777777" w:rsidR="00F86190" w:rsidRPr="00757425" w:rsidRDefault="00F86190" w:rsidP="00F86190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задачи </w:t>
            </w: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7574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D086D79" w:rsidR="00F86190" w:rsidRPr="00CC6804" w:rsidRDefault="00F86190" w:rsidP="00F86190">
            <w:pPr>
              <w:shd w:val="clear" w:color="auto" w:fill="FFFFFF"/>
              <w:spacing w:line="240" w:lineRule="auto"/>
              <w:ind w:firstLine="286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Формирование профилей стран Африки для сайта Центра изучения Африки НИУ ВШЭ</w:t>
            </w:r>
          </w:p>
        </w:tc>
      </w:tr>
      <w:tr w:rsidR="006A7669" w:rsidRPr="00146912" w14:paraId="69EC11ED" w14:textId="77777777" w:rsidTr="00135E29">
        <w:tc>
          <w:tcPr>
            <w:tcW w:w="4275" w:type="dxa"/>
          </w:tcPr>
          <w:p w14:paraId="13B29BB7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162DC188" w:rsidR="006A7669" w:rsidRPr="00355EEF" w:rsidRDefault="006A7669" w:rsidP="00355EEF">
            <w:pPr>
              <w:pStyle w:val="af2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Картотека рисков по 54 странам Африки. Каждый профиль состоит из 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информации по 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>макроэкономик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>, международно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м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положени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страны, политическ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ой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систем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её устойчивост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>, локальны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м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риск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ам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(проблемные территории), </w:t>
            </w:r>
            <w:proofErr w:type="spellStart"/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>коронавирус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proofErr w:type="spellEnd"/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санитарно-эпидемиологическ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ой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обстановк</w:t>
            </w:r>
            <w:r w:rsidR="00656CAF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6A766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целом</w:t>
            </w:r>
            <w:r w:rsidR="007D13C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др.</w:t>
            </w:r>
          </w:p>
        </w:tc>
      </w:tr>
      <w:tr w:rsidR="006A7669" w:rsidRPr="00146912" w14:paraId="17A28D65" w14:textId="77777777" w:rsidTr="00135E29">
        <w:tc>
          <w:tcPr>
            <w:tcW w:w="4275" w:type="dxa"/>
          </w:tcPr>
          <w:p w14:paraId="2078AA69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6B78432" w:rsidR="006A7669" w:rsidRPr="00CC6804" w:rsidRDefault="00656CAF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Опубликованные профили африканских стран</w:t>
            </w:r>
          </w:p>
        </w:tc>
      </w:tr>
      <w:tr w:rsidR="006A7669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6A7669" w:rsidRPr="00757425" w:rsidRDefault="006A7669" w:rsidP="006A766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30E93F6" w:rsidR="006A7669" w:rsidRPr="00CC6804" w:rsidRDefault="00441716" w:rsidP="00B117C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01</w:t>
            </w:r>
            <w:r w:rsidR="006A7669" w:rsidRPr="000B10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.0</w:t>
            </w:r>
            <w:r w:rsidR="00B117C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8</w:t>
            </w:r>
            <w:r w:rsidR="006A7669" w:rsidRPr="000B10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.202</w:t>
            </w:r>
            <w:r w:rsidR="00DB2D5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</w:tr>
      <w:tr w:rsidR="006A7669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6A7669" w:rsidRPr="00757425" w:rsidRDefault="006A7669" w:rsidP="006A766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A9DC2B6" w:rsidR="006A7669" w:rsidRPr="00CC6804" w:rsidRDefault="00B117CE" w:rsidP="00B117C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10</w:t>
            </w:r>
            <w:r w:rsidR="006A7669"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1</w:t>
            </w:r>
            <w:r w:rsidR="006A7669"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0.202</w:t>
            </w:r>
            <w:r w:rsidR="00DB2D5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</w:tr>
      <w:tr w:rsidR="006A7669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9741953" w:rsidR="006A7669" w:rsidRPr="00CC6804" w:rsidRDefault="007D13CE" w:rsidP="006A7669">
            <w:pPr>
              <w:spacing w:line="240" w:lineRule="auto"/>
              <w:ind w:right="567" w:firstLine="7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</w:tr>
      <w:tr w:rsidR="006A7669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6A7669" w:rsidRPr="00757425" w:rsidRDefault="006A7669" w:rsidP="006A7669">
            <w:pPr>
              <w:pStyle w:val="Default"/>
              <w:ind w:right="567"/>
              <w:rPr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DD40E26" w:rsidR="006A7669" w:rsidRPr="00CC6804" w:rsidRDefault="006A7669" w:rsidP="006A7669">
            <w:pPr>
              <w:spacing w:line="240" w:lineRule="auto"/>
              <w:ind w:right="567" w:firstLine="7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</w:tr>
      <w:tr w:rsidR="006A7669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DA765A7" w14:textId="7BF54C37" w:rsidR="006A7669" w:rsidRPr="00757425" w:rsidRDefault="006A7669" w:rsidP="006A766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757425">
              <w:rPr>
                <w:rFonts w:eastAsia="Arial"/>
                <w:i/>
                <w:color w:val="auto"/>
                <w:sz w:val="22"/>
                <w:szCs w:val="22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6A7669" w:rsidRPr="00757425" w:rsidRDefault="006A7669" w:rsidP="006A766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6DFCF299" w14:textId="77777777" w:rsidR="006A7669" w:rsidRPr="00757425" w:rsidRDefault="006A7669" w:rsidP="006A7669">
            <w:pPr>
              <w:pStyle w:val="Default"/>
              <w:ind w:right="567"/>
              <w:rPr>
                <w:rFonts w:eastAsia="Arial"/>
                <w:i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i/>
                <w:color w:val="auto"/>
                <w:sz w:val="22"/>
                <w:szCs w:val="22"/>
              </w:rPr>
              <w:t>Кредиты на 1 участника р</w:t>
            </w:r>
            <w:r w:rsidRPr="00757425">
              <w:rPr>
                <w:i/>
                <w:color w:val="000000" w:themeColor="text1"/>
                <w:sz w:val="22"/>
                <w:szCs w:val="22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6A7669" w:rsidRPr="00757425" w:rsidRDefault="006A7669" w:rsidP="006A7669">
            <w:pPr>
              <w:pStyle w:val="Default"/>
              <w:ind w:right="567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319B83BA" w14:textId="6EA51CC3" w:rsidR="006A7669" w:rsidRDefault="006A7669" w:rsidP="00886BF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1:</w:t>
            </w:r>
            <w:r w:rsidR="00A5053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стажер-исследователь по </w:t>
            </w:r>
            <w:r w:rsidR="00656CA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подготовке профилей</w:t>
            </w:r>
            <w:r w:rsidR="00A5053E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стран Африки</w:t>
            </w:r>
          </w:p>
          <w:p w14:paraId="191C877B" w14:textId="3D0CA9B5" w:rsidR="00886BF2" w:rsidRPr="00A421FA" w:rsidRDefault="00886BF2" w:rsidP="00886BF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Сбор информации из открытых источников: </w:t>
            </w:r>
            <w:r w:rsidRPr="00886BF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СМИ, официальные сайты компаний и организаций, доклады и отчеты международных организаций, заявления руководства компаний и заявления руководства африканских стран</w:t>
            </w:r>
            <w:r w:rsidR="00656CA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и пр.</w:t>
            </w:r>
          </w:p>
          <w:p w14:paraId="3D82E096" w14:textId="642DC802" w:rsidR="006A7669" w:rsidRPr="00A421FA" w:rsidRDefault="006A7669" w:rsidP="00886BF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A7669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44D9764B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Общее </w:t>
            </w: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количество кредитов</w:t>
            </w:r>
          </w:p>
        </w:tc>
        <w:tc>
          <w:tcPr>
            <w:tcW w:w="5070" w:type="dxa"/>
          </w:tcPr>
          <w:p w14:paraId="05BEF0EB" w14:textId="7A9C74B2" w:rsidR="006A7669" w:rsidRPr="00CC6804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4</w:t>
            </w: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6A7669" w:rsidRPr="00146912" w14:paraId="7CE97938" w14:textId="77777777" w:rsidTr="00135E29">
        <w:tc>
          <w:tcPr>
            <w:tcW w:w="4275" w:type="dxa"/>
          </w:tcPr>
          <w:p w14:paraId="23FB5688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38BC01A" w:rsidR="006A7669" w:rsidRPr="00CC6804" w:rsidRDefault="009B4284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Экзамен в форме </w:t>
            </w:r>
            <w:r w:rsidR="00656CA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а</w:t>
            </w:r>
            <w:r w:rsidR="006A7669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A7669" w:rsidRPr="00146912" w14:paraId="78414C75" w14:textId="77777777" w:rsidTr="00135E29">
        <w:tc>
          <w:tcPr>
            <w:tcW w:w="4275" w:type="dxa"/>
          </w:tcPr>
          <w:p w14:paraId="23DC5FC4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67891BA" w:rsidR="00A5053E" w:rsidRPr="00CC6804" w:rsidRDefault="00A5053E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О</w:t>
            </w:r>
            <w:r w:rsidR="006A7669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тчет по итогам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подготовки профилей стран Африки</w:t>
            </w:r>
          </w:p>
        </w:tc>
      </w:tr>
      <w:tr w:rsidR="006A7669" w:rsidRPr="00146912" w14:paraId="51B1EB88" w14:textId="77777777" w:rsidTr="00135E29">
        <w:tc>
          <w:tcPr>
            <w:tcW w:w="4275" w:type="dxa"/>
          </w:tcPr>
          <w:p w14:paraId="7C1F2FF1" w14:textId="77777777" w:rsidR="006A7669" w:rsidRPr="00757425" w:rsidRDefault="006A7669" w:rsidP="006A7669">
            <w:pPr>
              <w:pStyle w:val="Default"/>
              <w:ind w:right="567"/>
              <w:rPr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B370B4A" w14:textId="77777777" w:rsidR="006A7669" w:rsidRPr="00CC6804" w:rsidRDefault="006A7669" w:rsidP="006A766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Итоговая оценка за проект формируется следующим образом:</w:t>
            </w:r>
          </w:p>
          <w:p w14:paraId="69B905E6" w14:textId="77777777" w:rsidR="006A7669" w:rsidRPr="00CC6804" w:rsidRDefault="006A7669" w:rsidP="006A766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14:paraId="7A243798" w14:textId="77777777" w:rsidR="006A7669" w:rsidRPr="00CC6804" w:rsidRDefault="006A7669" w:rsidP="006A766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Разработка* 0,8 + Отчёт *0,2</w:t>
            </w:r>
          </w:p>
          <w:p w14:paraId="5A75C9C3" w14:textId="77777777" w:rsidR="006A7669" w:rsidRPr="00CC6804" w:rsidRDefault="006A7669" w:rsidP="006A766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14:paraId="73CA2E4E" w14:textId="77777777" w:rsidR="006A7669" w:rsidRPr="00CC6804" w:rsidRDefault="006A7669" w:rsidP="006A766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Разработка – оценка за участие в организации мероприятия.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14:paraId="2E5F58D4" w14:textId="061A0759" w:rsidR="006A7669" w:rsidRPr="00CC6804" w:rsidRDefault="006A7669" w:rsidP="006A7669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Отчёт – оценка за индивидуальный итоговый отчёт. Выставляется руководителем проекта каждому студенту в индивид</w:t>
            </w:r>
            <w:bookmarkStart w:id="0" w:name="_GoBack"/>
            <w:bookmarkEnd w:id="0"/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уальном порядке.</w:t>
            </w:r>
          </w:p>
          <w:p w14:paraId="1ADF8579" w14:textId="77777777" w:rsidR="006A7669" w:rsidRPr="00CC6804" w:rsidRDefault="006A7669" w:rsidP="006A7669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Также во внимание преподавателя принимаются:</w:t>
            </w:r>
          </w:p>
          <w:p w14:paraId="764A6FF1" w14:textId="77777777" w:rsidR="006A7669" w:rsidRPr="00CC6804" w:rsidRDefault="006A7669" w:rsidP="006A7669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CC6804">
              <w:rPr>
                <w:rFonts w:ascii="Times New Roman" w:eastAsia="Arial" w:hAnsi="Times New Roman" w:cs="Times New Roman"/>
                <w:iCs/>
                <w:color w:val="000000" w:themeColor="text1"/>
                <w:sz w:val="22"/>
                <w:szCs w:val="22"/>
              </w:rPr>
              <w:t>Оперативность выполнения текущих задач;</w:t>
            </w:r>
          </w:p>
          <w:p w14:paraId="537F321A" w14:textId="4306C899" w:rsidR="006A7669" w:rsidRPr="00CC6804" w:rsidRDefault="006A7669" w:rsidP="006A7669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Достижение поставленных целей</w:t>
            </w:r>
          </w:p>
        </w:tc>
      </w:tr>
      <w:tr w:rsidR="006A7669" w:rsidRPr="00146912" w14:paraId="0304381D" w14:textId="77777777" w:rsidTr="00135E29">
        <w:tc>
          <w:tcPr>
            <w:tcW w:w="4275" w:type="dxa"/>
          </w:tcPr>
          <w:p w14:paraId="31A5A350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75FE2F5" w:rsidR="006A7669" w:rsidRPr="00CC6804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Нет</w:t>
            </w:r>
          </w:p>
        </w:tc>
      </w:tr>
      <w:tr w:rsidR="006A7669" w:rsidRPr="00146912" w14:paraId="7F19BC02" w14:textId="77777777" w:rsidTr="00135E29">
        <w:tc>
          <w:tcPr>
            <w:tcW w:w="4275" w:type="dxa"/>
          </w:tcPr>
          <w:p w14:paraId="53E95F5D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Ожидаемые о</w:t>
            </w:r>
            <w:proofErr w:type="spellStart"/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бразовательные</w:t>
            </w:r>
            <w:proofErr w:type="spellEnd"/>
            <w:r w:rsidRPr="00757425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FCD4BE1" w:rsidR="006A7669" w:rsidRPr="00886BF2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В результате проекта студенты получат опыт </w:t>
            </w:r>
            <w:r w:rsidR="00886BF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экспертно-аналитической работы, сбор</w:t>
            </w:r>
            <w:r w:rsidR="00DF6EC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а</w:t>
            </w:r>
            <w:r w:rsidR="00886BF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информации из отрытых источников и оценки достоверности источников</w:t>
            </w:r>
            <w:r w:rsidR="00DF6EC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, а также</w:t>
            </w:r>
            <w:r w:rsidR="00886BF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основным методам анализа рисков в условиях информационной непрозрачности исследуемых стран.</w:t>
            </w:r>
          </w:p>
        </w:tc>
      </w:tr>
      <w:tr w:rsidR="006A7669" w:rsidRPr="00146912" w14:paraId="1AAC99B5" w14:textId="77777777" w:rsidTr="00135E29">
        <w:tc>
          <w:tcPr>
            <w:tcW w:w="4275" w:type="dxa"/>
          </w:tcPr>
          <w:p w14:paraId="194E9363" w14:textId="77777777" w:rsidR="006A7669" w:rsidRPr="00757425" w:rsidRDefault="006A7669" w:rsidP="006A766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  <w:lang w:val="ru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5632E95" w:rsidR="006A7669" w:rsidRPr="00CC6804" w:rsidRDefault="00886BF2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Удаленная работа с проведением регулярных очных встреч</w:t>
            </w:r>
          </w:p>
        </w:tc>
      </w:tr>
      <w:tr w:rsidR="006A7669" w:rsidRPr="00146912" w14:paraId="0C450F48" w14:textId="77777777" w:rsidTr="00135E29">
        <w:tc>
          <w:tcPr>
            <w:tcW w:w="4275" w:type="dxa"/>
          </w:tcPr>
          <w:p w14:paraId="31DA1B81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50B17A6" w:rsidR="006A7669" w:rsidRPr="00CC6804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«Востоковедение», «Международные отношения», «Политология», «Мировая экономика» и др.</w:t>
            </w:r>
          </w:p>
        </w:tc>
      </w:tr>
      <w:tr w:rsidR="006A7669" w:rsidRPr="00146912" w14:paraId="601E0908" w14:textId="77777777" w:rsidTr="00135E29">
        <w:tc>
          <w:tcPr>
            <w:tcW w:w="4275" w:type="dxa"/>
          </w:tcPr>
          <w:p w14:paraId="081526EA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5AF40D39" w:rsidR="006A7669" w:rsidRPr="00CC6804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6A7669" w:rsidRPr="00146912" w14:paraId="713FA08F" w14:textId="77777777" w:rsidTr="00135E29">
        <w:tc>
          <w:tcPr>
            <w:tcW w:w="4275" w:type="dxa"/>
          </w:tcPr>
          <w:p w14:paraId="7B4D58C9" w14:textId="77777777" w:rsidR="006A7669" w:rsidRPr="00757425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590EAA9E" w:rsidR="006A7669" w:rsidRPr="00CC6804" w:rsidRDefault="006A7669" w:rsidP="006A7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Нет</w:t>
            </w:r>
          </w:p>
        </w:tc>
      </w:tr>
    </w:tbl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2CE4" w14:textId="77777777" w:rsidR="005B74B3" w:rsidRDefault="005B74B3" w:rsidP="00765EE9">
      <w:pPr>
        <w:spacing w:line="240" w:lineRule="auto"/>
      </w:pPr>
      <w:r>
        <w:separator/>
      </w:r>
    </w:p>
  </w:endnote>
  <w:endnote w:type="continuationSeparator" w:id="0">
    <w:p w14:paraId="5F283DF3" w14:textId="77777777" w:rsidR="005B74B3" w:rsidRDefault="005B74B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2A90FD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B4284" w:rsidRPr="009B4284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7CC4" w14:textId="77777777" w:rsidR="005B74B3" w:rsidRDefault="005B74B3" w:rsidP="00765EE9">
      <w:pPr>
        <w:spacing w:line="240" w:lineRule="auto"/>
      </w:pPr>
      <w:r>
        <w:separator/>
      </w:r>
    </w:p>
  </w:footnote>
  <w:footnote w:type="continuationSeparator" w:id="0">
    <w:p w14:paraId="766A88AA" w14:textId="77777777" w:rsidR="005B74B3" w:rsidRDefault="005B74B3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E8F"/>
    <w:multiLevelType w:val="hybridMultilevel"/>
    <w:tmpl w:val="0E64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796A"/>
    <w:rsid w:val="00013C6F"/>
    <w:rsid w:val="00013EB7"/>
    <w:rsid w:val="00071D27"/>
    <w:rsid w:val="000849CC"/>
    <w:rsid w:val="000B10AC"/>
    <w:rsid w:val="000B22C7"/>
    <w:rsid w:val="000B65C4"/>
    <w:rsid w:val="000D71F4"/>
    <w:rsid w:val="001022AD"/>
    <w:rsid w:val="00135E29"/>
    <w:rsid w:val="00135EC4"/>
    <w:rsid w:val="00140D2F"/>
    <w:rsid w:val="00146912"/>
    <w:rsid w:val="0017119D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55EEF"/>
    <w:rsid w:val="00385D88"/>
    <w:rsid w:val="003C72BF"/>
    <w:rsid w:val="00414FC2"/>
    <w:rsid w:val="00422E3D"/>
    <w:rsid w:val="00441716"/>
    <w:rsid w:val="00467308"/>
    <w:rsid w:val="004A4324"/>
    <w:rsid w:val="004F7461"/>
    <w:rsid w:val="005428A8"/>
    <w:rsid w:val="005444B9"/>
    <w:rsid w:val="005526F4"/>
    <w:rsid w:val="0055643E"/>
    <w:rsid w:val="005B74B3"/>
    <w:rsid w:val="005D4092"/>
    <w:rsid w:val="00604892"/>
    <w:rsid w:val="00625622"/>
    <w:rsid w:val="00656CAF"/>
    <w:rsid w:val="006875CD"/>
    <w:rsid w:val="006A7669"/>
    <w:rsid w:val="006E2503"/>
    <w:rsid w:val="0072300B"/>
    <w:rsid w:val="00757425"/>
    <w:rsid w:val="00765C52"/>
    <w:rsid w:val="00765EE9"/>
    <w:rsid w:val="0079175F"/>
    <w:rsid w:val="007A05A5"/>
    <w:rsid w:val="007A2BC8"/>
    <w:rsid w:val="007B1543"/>
    <w:rsid w:val="007D13CE"/>
    <w:rsid w:val="00815951"/>
    <w:rsid w:val="0085443D"/>
    <w:rsid w:val="008729D6"/>
    <w:rsid w:val="00873A0F"/>
    <w:rsid w:val="008756F6"/>
    <w:rsid w:val="00880BD2"/>
    <w:rsid w:val="00886BF2"/>
    <w:rsid w:val="00894B14"/>
    <w:rsid w:val="008B5D36"/>
    <w:rsid w:val="008E415F"/>
    <w:rsid w:val="00901560"/>
    <w:rsid w:val="0091113D"/>
    <w:rsid w:val="00911FE6"/>
    <w:rsid w:val="009120BE"/>
    <w:rsid w:val="00923349"/>
    <w:rsid w:val="00934796"/>
    <w:rsid w:val="009430EA"/>
    <w:rsid w:val="009438FC"/>
    <w:rsid w:val="009718FB"/>
    <w:rsid w:val="00971F9C"/>
    <w:rsid w:val="009B4284"/>
    <w:rsid w:val="009D1FA1"/>
    <w:rsid w:val="009E5853"/>
    <w:rsid w:val="00A22831"/>
    <w:rsid w:val="00A314C9"/>
    <w:rsid w:val="00A37C0E"/>
    <w:rsid w:val="00A421FA"/>
    <w:rsid w:val="00A5053E"/>
    <w:rsid w:val="00A972CF"/>
    <w:rsid w:val="00AC0025"/>
    <w:rsid w:val="00AE3AA8"/>
    <w:rsid w:val="00B117CE"/>
    <w:rsid w:val="00B401DE"/>
    <w:rsid w:val="00B729AD"/>
    <w:rsid w:val="00B97F60"/>
    <w:rsid w:val="00BB4E04"/>
    <w:rsid w:val="00BC514B"/>
    <w:rsid w:val="00BF4DC3"/>
    <w:rsid w:val="00C0551E"/>
    <w:rsid w:val="00C17CB1"/>
    <w:rsid w:val="00C46460"/>
    <w:rsid w:val="00C50A84"/>
    <w:rsid w:val="00C57241"/>
    <w:rsid w:val="00C851B3"/>
    <w:rsid w:val="00C85DE8"/>
    <w:rsid w:val="00C86B47"/>
    <w:rsid w:val="00CC4563"/>
    <w:rsid w:val="00CC6804"/>
    <w:rsid w:val="00CE73F9"/>
    <w:rsid w:val="00D074C7"/>
    <w:rsid w:val="00D26D2B"/>
    <w:rsid w:val="00D66833"/>
    <w:rsid w:val="00DB2D5F"/>
    <w:rsid w:val="00DD57CC"/>
    <w:rsid w:val="00DF6EC5"/>
    <w:rsid w:val="00E03D58"/>
    <w:rsid w:val="00E26B33"/>
    <w:rsid w:val="00E30B79"/>
    <w:rsid w:val="00E37BAE"/>
    <w:rsid w:val="00E65519"/>
    <w:rsid w:val="00E73A44"/>
    <w:rsid w:val="00E90374"/>
    <w:rsid w:val="00EE082A"/>
    <w:rsid w:val="00F16534"/>
    <w:rsid w:val="00F3746A"/>
    <w:rsid w:val="00F42BA7"/>
    <w:rsid w:val="00F86190"/>
    <w:rsid w:val="00F901F9"/>
    <w:rsid w:val="00FA5968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qFormat/>
    <w:rsid w:val="00B97F6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3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86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17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0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3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3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3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8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6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9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238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4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8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5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9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1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53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4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09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4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9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0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16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8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3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6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2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DA69-14E8-4098-B11F-CEE6049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Студент НИУ ВШЭ</cp:lastModifiedBy>
  <cp:revision>18</cp:revision>
  <dcterms:created xsi:type="dcterms:W3CDTF">2021-10-07T14:14:00Z</dcterms:created>
  <dcterms:modified xsi:type="dcterms:W3CDTF">2022-07-21T11:30:00Z</dcterms:modified>
</cp:coreProperties>
</file>