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>
        <w:rPr>
          <w:b/>
          <w:sz w:val="28"/>
          <w:szCs w:val="28"/>
        </w:rPr>
        <w:t>ое предложение</w:t>
      </w:r>
    </w:p>
    <w:p/>
    <w:tbl>
      <w:tblPr>
        <w:tblStyle w:val="TableGrid"/>
        <w:tblW w:w="0" w:type="auto"/>
        <w:tblLook w:val="04A0"/>
      </w:tblPr>
      <w:tblGrid>
        <w:gridCol w:w="4902"/>
        <w:gridCol w:w="4663"/>
      </w:tblGrid>
      <w:tr>
        <w:trPr/>
        <w:tc>
          <w:tcPr>
            <w:cnfStyle w:val="101000000000"/>
            <w:tcW w:w="4902" w:type="dxa"/>
          </w:tcPr>
          <w:p>
            <w:pPr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>Тип проекта</w:t>
            </w:r>
          </w:p>
        </w:tc>
        <w:tc>
          <w:tcPr>
            <w:cnfStyle w:val="100000000000"/>
            <w:tcW w:w="4663" w:type="dxa"/>
          </w:tcPr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>Исследовательский</w:t>
            </w:r>
          </w:p>
        </w:tc>
      </w:tr>
      <w:tr>
        <w:trPr/>
        <w:tc>
          <w:tcPr>
            <w:cnfStyle w:val="001000100000"/>
            <w:tcW w:w="4902" w:type="dxa"/>
          </w:tcPr>
          <w:p>
            <w:pPr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>Название проекта</w:t>
            </w:r>
          </w:p>
        </w:tc>
        <w:tc>
          <w:tcPr>
            <w:cnfStyle w:val="000000100000"/>
            <w:tcW w:w="4663" w:type="dxa"/>
          </w:tcPr>
          <w:p>
            <w:pPr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>Китай и пандемия КОВИД-19: экономическая стратегия и экономическая политика</w:t>
            </w:r>
          </w:p>
        </w:tc>
      </w:tr>
      <w:tr>
        <w:trPr/>
        <w:tc>
          <w:tcPr>
            <w:cnfStyle w:val="001000010000"/>
            <w:tcW w:w="4902" w:type="dxa"/>
          </w:tcPr>
          <w:p>
            <w:pPr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cnfStyle w:val="000000010000"/>
            <w:tcW w:w="4663" w:type="dxa"/>
          </w:tcPr>
          <w:p>
            <w:pPr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>Школа Востоковедения, ф-тет МЭиМП</w:t>
            </w:r>
          </w:p>
        </w:tc>
      </w:tr>
      <w:tr>
        <w:trPr/>
        <w:tc>
          <w:tcPr>
            <w:cnfStyle w:val="001000100000"/>
            <w:tcW w:w="4902" w:type="dxa"/>
          </w:tcPr>
          <w:p>
            <w:pPr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>Руководитель проекта</w:t>
            </w:r>
          </w:p>
        </w:tc>
        <w:tc>
          <w:tcPr>
            <w:cnfStyle w:val="000000100000"/>
            <w:tcW w:w="4663" w:type="dxa"/>
          </w:tcPr>
          <w:p>
            <w:pPr>
              <w:shd w:val="clear" w:color="auto" w:fill="ffffff"/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>Карпов М. В.</w:t>
            </w:r>
          </w:p>
        </w:tc>
      </w:tr>
      <w:tr>
        <w:trPr/>
        <w:tc>
          <w:tcPr>
            <w:cnfStyle w:val="00100001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Заказчик проекта </w:t>
            </w:r>
            <w:r>
              <w:rPr>
                <w:rFonts w:ascii="Times New Roman" w:cs="Times New Roman" w:hAnsi="Times New Roman"/>
                <w:lang w:val="en-US"/>
              </w:rPr>
              <w:t>/</w:t>
            </w:r>
            <w:r>
              <w:rPr>
                <w:rFonts w:ascii="Times New Roman" w:cs="Times New Roman" w:hAnsi="Times New Roman"/>
              </w:rPr>
              <w:t xml:space="preserve"> востребованность проекта</w:t>
            </w:r>
          </w:p>
        </w:tc>
        <w:tc>
          <w:tcPr>
            <w:cnfStyle w:val="000000010000"/>
            <w:tcW w:w="4663" w:type="dxa"/>
          </w:tcPr>
          <w:p>
            <w:pPr>
              <w:shd w:val="clear" w:color="auto" w:fill="ffffff"/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>Школа Востоковедения Ф-тет МЭиМП</w:t>
            </w:r>
          </w:p>
        </w:tc>
      </w:tr>
      <w:tr>
        <w:trPr/>
        <w:tc>
          <w:tcPr>
            <w:cnfStyle w:val="00100010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Основная проектная идея </w:t>
            </w:r>
            <w:r>
              <w:rPr>
                <w:rFonts w:ascii="Times New Roman" w:cs="Times New Roman" w:hAnsi="Times New Roman"/>
              </w:rPr>
              <w:t>/</w:t>
            </w:r>
            <w:r>
              <w:rPr>
                <w:rFonts w:ascii="Times New Roman" w:cs="Times New Roman" w:hAnsi="Times New Roman"/>
              </w:rPr>
              <w:t xml:space="preserve"> описание </w:t>
            </w:r>
            <w:r>
              <w:rPr>
                <w:rFonts w:ascii="Times New Roman" w:cs="Times New Roman" w:hAnsi="Times New Roman"/>
              </w:rPr>
              <w:t xml:space="preserve">решаемой </w:t>
            </w:r>
            <w:r>
              <w:rPr>
                <w:rFonts w:ascii="Times New Roman" w:cs="Times New Roman" w:hAnsi="Times New Roman"/>
              </w:rPr>
              <w:t>проблем</w:t>
            </w:r>
            <w:r>
              <w:rPr>
                <w:rFonts w:ascii="Times New Roman" w:cs="Times New Roman" w:hAnsi="Times New Roman"/>
              </w:rPr>
              <w:t>ы</w:t>
            </w:r>
          </w:p>
        </w:tc>
        <w:tc>
          <w:tcPr>
            <w:cnfStyle w:val="000000100000"/>
            <w:tcW w:w="4663" w:type="dxa"/>
          </w:tcPr>
          <w:p>
            <w:pPr>
              <w:shd w:val="clear" w:color="auto" w:fill="ffffff"/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 xml:space="preserve">Изучение влияния пандемии КОВИД-19 на формирование экономической стратегии и экономической политики руководства КНР </w:t>
            </w:r>
          </w:p>
        </w:tc>
      </w:tr>
      <w:tr>
        <w:trPr/>
        <w:tc>
          <w:tcPr>
            <w:cnfStyle w:val="001000010000"/>
            <w:tcW w:w="4902" w:type="dxa"/>
          </w:tcPr>
          <w:p>
            <w:pPr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Цель проекта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</w:p>
        </w:tc>
        <w:tc>
          <w:tcPr>
            <w:cnfStyle w:val="000000010000"/>
            <w:tcW w:w="4663" w:type="dxa"/>
          </w:tcPr>
          <w:p>
            <w:pPr>
              <w:shd w:val="clear" w:color="auto" w:fill="ffffff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Привлечь аналитическое внимание студентов к механизмам формирования экономической стратегии и политики КНР в настоящее время</w:t>
            </w:r>
          </w:p>
        </w:tc>
      </w:tr>
      <w:tr>
        <w:trPr/>
        <w:tc>
          <w:tcPr>
            <w:cnfStyle w:val="00100010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Планируемые результаты проекта</w:t>
            </w:r>
            <w:r>
              <w:rPr>
                <w:rFonts w:ascii="Times New Roman" w:cs="Times New Roman" w:hAnsi="Times New Roman"/>
              </w:rPr>
              <w:t xml:space="preserve">, специальные или функциональные требования к </w:t>
            </w:r>
            <w:r>
              <w:rPr>
                <w:rFonts w:ascii="Times New Roman" w:cs="Times New Roman" w:hAnsi="Times New Roman"/>
              </w:rPr>
              <w:t>результату</w:t>
            </w:r>
          </w:p>
        </w:tc>
        <w:tc>
          <w:tcPr>
            <w:cnfStyle w:val="000000100000"/>
            <w:tcW w:w="4663" w:type="dxa"/>
          </w:tcPr>
          <w:p>
            <w:pPr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 xml:space="preserve">Научная презентация результатов сбора и анализа материалов, </w:t>
            </w:r>
            <w:bookmarkStart w:id="0" w:name="_GoBack"/>
            <w:bookmarkEnd w:id="0"/>
          </w:p>
        </w:tc>
      </w:tr>
      <w:tr>
        <w:trPr/>
        <w:tc>
          <w:tcPr>
            <w:cnfStyle w:val="00100001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Требования к участникам </w:t>
            </w:r>
            <w:r>
              <w:rPr>
                <w:rFonts w:ascii="Times New Roman" w:cs="Times New Roman" w:hAnsi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cnfStyle w:val="000000010000"/>
            <w:tcW w:w="4663" w:type="dxa"/>
          </w:tcPr>
          <w:p>
            <w:pPr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>Студенты магистратуры по направлению подготовки Востоковедение, Политология, Экономика, Политическая экономия, Экономическая социология</w:t>
            </w:r>
          </w:p>
        </w:tc>
      </w:tr>
      <w:tr>
        <w:trPr/>
        <w:tc>
          <w:tcPr>
            <w:cnfStyle w:val="00100010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cnfStyle w:val="000000100000"/>
            <w:tcW w:w="4663" w:type="dxa"/>
          </w:tcPr>
          <w:p>
            <w:pPr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>10 человек</w:t>
            </w:r>
          </w:p>
        </w:tc>
      </w:tr>
      <w:tr>
        <w:trPr/>
        <w:tc>
          <w:tcPr>
            <w:cnfStyle w:val="00100001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Проектное задание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cnfStyle w:val="000000010000"/>
            <w:tcW w:w="4663" w:type="dxa"/>
          </w:tcPr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</w:rPr>
              <w:t xml:space="preserve">Сбор и анализ первичных и вторичных источников по механизмам формирования и содержанию экономической стратегии и экономической политики КНР в 2020-2021 годах. Формирование целостного видения структуры, динамики, а также политической и институциональной природы макро и микроэкономического регулирования в КНР в условиях пандемии КОВИД-19 </w:t>
            </w:r>
          </w:p>
        </w:tc>
      </w:tr>
      <w:tr>
        <w:trPr/>
        <w:tc>
          <w:tcPr>
            <w:cnfStyle w:val="001000100000"/>
            <w:tcW w:w="4902" w:type="dxa"/>
          </w:tcPr>
          <w:p>
            <w:pPr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 xml:space="preserve">Критерии отбора студентов </w:t>
            </w: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4663" w:type="dxa"/>
          </w:tcPr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 xml:space="preserve">По степени приоритета - студенты владеющие английским и китайским языками;студенты, имеющие навыки с первичными источниками и литературой по политологии, экономике и истории; студенты по профилю востоковедение, экономика, политология, история </w:t>
            </w:r>
          </w:p>
        </w:tc>
      </w:tr>
      <w:tr>
        <w:trPr/>
        <w:tc>
          <w:tcPr>
            <w:cnfStyle w:val="00100001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Сроки </w:t>
            </w:r>
            <w:r>
              <w:rPr>
                <w:rFonts w:ascii="Times New Roman" w:cs="Times New Roman" w:hAnsi="Times New Roman"/>
              </w:rPr>
              <w:t xml:space="preserve">и график </w:t>
            </w:r>
            <w:r>
              <w:rPr>
                <w:rFonts w:ascii="Times New Roman" w:cs="Times New Roman" w:hAnsi="Times New Roman"/>
              </w:rPr>
              <w:t>реализации проекта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cnfStyle w:val="000000010000"/>
            <w:tcW w:w="4663" w:type="dxa"/>
          </w:tcPr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>С 1 октября 2022 до 30 июня 2023; сбор и перевод материалов первичных и вторичных источников - до 28 февраля 2023 года; структурный анализ материала и подготовка презентации  результатов исследования - до 30 июня 2023 года</w:t>
            </w:r>
          </w:p>
        </w:tc>
      </w:tr>
      <w:tr>
        <w:trPr/>
        <w:tc>
          <w:tcPr>
            <w:cnfStyle w:val="00100010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Трудоемкость (часы в неделю) </w:t>
            </w:r>
            <w:r>
              <w:rPr>
                <w:rFonts w:ascii="Times New Roman" w:cs="Times New Roman" w:hAnsi="Times New Roman"/>
              </w:rPr>
              <w:t>на одного участника</w:t>
            </w:r>
          </w:p>
        </w:tc>
        <w:tc>
          <w:tcPr>
            <w:cnfStyle w:val="000000100000"/>
            <w:tcW w:w="4663" w:type="dxa"/>
          </w:tcPr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>5 часов</w:t>
            </w:r>
          </w:p>
        </w:tc>
      </w:tr>
      <w:tr>
        <w:trPr/>
        <w:tc>
          <w:tcPr>
            <w:cnfStyle w:val="00100001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Количество кредитов</w:t>
            </w:r>
          </w:p>
        </w:tc>
        <w:tc>
          <w:tcPr>
            <w:cnfStyle w:val="000000010000"/>
            <w:tcW w:w="4663" w:type="dxa"/>
          </w:tcPr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>8</w:t>
            </w:r>
          </w:p>
        </w:tc>
      </w:tr>
      <w:tr>
        <w:trPr/>
        <w:tc>
          <w:tcPr>
            <w:cnfStyle w:val="00100010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Форма итогового контроля</w:t>
            </w:r>
          </w:p>
        </w:tc>
        <w:tc>
          <w:tcPr>
            <w:cnfStyle w:val="000000100000"/>
            <w:tcW w:w="4663" w:type="dxa"/>
          </w:tcPr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>Экзамен в формате круглого стола с личными докладами каждого участника проекта, их обсуждением и оценкой</w:t>
            </w:r>
          </w:p>
        </w:tc>
      </w:tr>
      <w:tr>
        <w:trPr/>
        <w:tc>
          <w:tcPr>
            <w:cnfStyle w:val="00100001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cnfStyle w:val="000000010000"/>
            <w:tcW w:w="4663" w:type="dxa"/>
          </w:tcPr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>Подготовка доклада на круглом столе, участие в подготовке итоговой презентации</w:t>
            </w:r>
          </w:p>
        </w:tc>
      </w:tr>
      <w:tr>
        <w:trPr/>
        <w:tc>
          <w:tcPr>
            <w:cnfStyle w:val="00100010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cnfStyle w:val="000000100000"/>
            <w:tcW w:w="4663" w:type="dxa"/>
          </w:tcPr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</w:rPr>
              <w:t xml:space="preserve">Студенты получат и усовершенствуют навыки работы с первичными источниками и  литературой на китайском и английском языках, </w:t>
            </w:r>
            <w:r>
              <w:rPr>
                <w:rFonts w:ascii="Times New Roman" w:cs="Times New Roman" w:hAnsi="Times New Roman"/>
                <w:i/>
              </w:rPr>
              <w:t xml:space="preserve">приобретут аналитические компетенции сбора и систематизации информации, а также навыки академического изложения результатов проведенного анализа </w:t>
            </w:r>
          </w:p>
        </w:tc>
      </w:tr>
      <w:tr>
        <w:trPr/>
        <w:tc>
          <w:tcPr>
            <w:cnfStyle w:val="00100001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Критерии оценивания результатов проекта</w:t>
            </w:r>
            <w:r>
              <w:rPr>
                <w:rFonts w:ascii="Times New Roman" w:cs="Times New Roman" w:hAnsi="Times New Roman"/>
              </w:rPr>
              <w:t xml:space="preserve"> с указанием всех требований и параметров </w:t>
            </w:r>
          </w:p>
        </w:tc>
        <w:tc>
          <w:tcPr>
            <w:cnfStyle w:val="000000010000"/>
            <w:tcW w:w="4663" w:type="dxa"/>
          </w:tcPr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>Сбор первичной информации - 30%</w:t>
            </w:r>
          </w:p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>Выступление на круглом столе с докладом - 40%</w:t>
            </w:r>
          </w:p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>Подготовка итоговой презентации - 30%</w:t>
            </w:r>
          </w:p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</w:p>
        </w:tc>
      </w:tr>
      <w:tr>
        <w:trPr/>
        <w:tc>
          <w:tcPr>
            <w:cnfStyle w:val="001000100000"/>
            <w:tcW w:w="4902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cnfStyle w:val="000000100000"/>
            <w:tcW w:w="4663" w:type="dxa"/>
          </w:tcPr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>Нет</w:t>
            </w:r>
          </w:p>
        </w:tc>
      </w:tr>
      <w:tr>
        <w:trPr/>
        <w:tc>
          <w:tcPr>
            <w:cnfStyle w:val="001000010000"/>
            <w:tcW w:w="4902" w:type="dxa"/>
          </w:tcPr>
          <w:p>
            <w:pPr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>Рекомендуемые о</w:t>
            </w:r>
            <w:r>
              <w:rPr>
                <w:rFonts w:ascii="Times New Roman" w:cs="Times New Roman" w:hAnsi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cnfStyle w:val="000000010000"/>
            <w:tcW w:w="4663" w:type="dxa"/>
          </w:tcPr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>Социально-экономическое и политическое развитие современной Азии; Бизнес и политика в современной Азии; История современного мира; Прикладная политология; Экономика, политика и бизнес в Азии; Сравнительная политика Евразии; Экономика и экономическая политика; Экономический анализ</w:t>
            </w:r>
          </w:p>
        </w:tc>
      </w:tr>
      <w:tr>
        <w:trPr/>
        <w:tc>
          <w:tcPr>
            <w:cnfStyle w:val="001000100000"/>
            <w:tcW w:w="4902" w:type="dxa"/>
          </w:tcPr>
          <w:p>
            <w:pPr>
              <w:rPr>
                <w:rFonts w:ascii="Times New Roman" w:cs="Times New Roman" w:hAnsi="Times New Roman"/>
                <w:color w:val="000000" w:themeColor="text1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>Территория</w:t>
            </w:r>
          </w:p>
        </w:tc>
        <w:tc>
          <w:tcPr>
            <w:cnfStyle w:val="000000100000"/>
            <w:tcW w:w="4663" w:type="dxa"/>
          </w:tcPr>
          <w:p>
            <w:pPr>
              <w:rPr>
                <w:rFonts w:ascii="Times New Roman" w:cs="Times New Roman" w:hAnsi="Times New Roman"/>
                <w:i/>
                <w:color w:val="000000" w:themeColor="text1"/>
              </w:rPr>
            </w:pPr>
            <w:r>
              <w:rPr>
                <w:rFonts w:ascii="Times New Roman" w:cs="Times New Roman" w:hAnsi="Times New Roman"/>
                <w:i/>
                <w:color w:val="000000" w:themeColor="text1"/>
              </w:rPr>
              <w:t>Москва, Школа Востоковедения, ул. Старая Басманная д. 21.4; встречи в онлайн формате.</w:t>
            </w:r>
          </w:p>
        </w:tc>
      </w:tr>
    </w:tbl>
    <w:p/>
    <w:p/>
    <w:p/>
    <w:p>
      <w:r>
        <w:tab/>
      </w:r>
      <w:r>
        <w:tab/>
      </w:r>
    </w:p>
    <w:sectPr>
      <w:pgSz w:w="11900" w:h="16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0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val="ru-RU" w:bidi="ar-SA" w:eastAsia="ru-RU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99"/>
    <w:qFormat w:val="on"/>
    <w:pPr>
      <w:ind w:left="720"/>
      <w:contextualSpacing w:val="on"/>
    </w:p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</cp:lastModifiedBy>
</cp:coreProperties>
</file>