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Судебно-следственные дела о колдовстве в царской России: XIX век.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Департамент теории права и сравнительного правоведения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Петербургский Михаил Юрьевич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Департамент теории права и сравнительного правоведения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mpeterburgskiy@hse.ru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Знакомство с феноменом “магической деятельности” среди русского простонародья в широком социальном и правовом контексте. Временной период (XIX в.) выбран с учетом его недостаточной освещенности в научной литературе - статьях и монографиях, а также некоторым снижением в указанный период интереса публичных властей к преследованию лиц, занимающихся магическими практиками, по сравнению с предыдущими столетиями.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Расшифровка и последующий анализ информации, содержащейся в архивной документации - судебно-следственных делах (о колдовстве, знахарстве, шарлатанстве, порчах, кликушах), выявленных и выявляемых в центральных и областных исторических архивах.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Выявление особенностей судопроизводства по делам о колдовстве, развитие навыков распознавания рукописного текста, в т.ч. на ветхих, плохо сохранившихся носителях; изучение тематического законодательства, знакомство с научными трудами признанных специалистов по истории иррационального (Е.Б. Смилянская, В. Кивельсон, К. Воробец и др.) и истории права (А. Сафонов, В. Андрощук и др.)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 завершении проекта участник представляет развернутый анализ одного или нескольких судебно-следственных дел, выявленных руководителем проекта в региональных архивах и (или) иных источников (исторических, этнографических, богословских), необходимых для задачи воссоздания сложной картины феномена иррационального видения мира в России имперского периода. Архивный материал ляжет в основу научной статьи в журнале, работа над которой будет вестись на заключительных этапах проекта, и (или) тезисов конференции (круглого стола)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Итог проекта - личный вклад участника проекта в подготовку научной публикации (публикаций) в рецензируемом издании; участие совместно с руководителем проекта в тематическом научном семинаре / круглом столе / конференции. Форма вклада участника исследовательского проекта обговаривается индивидуально.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20.09.2022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17.06.2023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 проекте действуют две группы вакансий: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single"/>
                <w:rtl w:val="0"/>
              </w:rPr>
              <w:t xml:space="preserve">Аналитик-исследователь (I).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аналитическая работа (преимущественно), участие в научных мероприятиях. Количество кредитов: 8. Критерии отбора на вакансию: интерес к проблематике исследовательского проекта, аналитические компетенции, знакомство с историей России Нового времени, педантичность, стрессоустойчивость, опыт подготовки научных статей.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right="567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right="567" w:hanging="36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u w:val="single"/>
                <w:rtl w:val="0"/>
              </w:rPr>
              <w:t xml:space="preserve">Аналитик-исследователь (II).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 аналитическая работа, участие в общей дискуссии, участие в научных мероприятиях. </w:t>
            </w:r>
          </w:p>
          <w:p w:rsidR="00000000" w:rsidDel="00000000" w:rsidP="00000000" w:rsidRDefault="00000000" w:rsidRPr="00000000" w14:paraId="00000031">
            <w:pPr>
              <w:ind w:left="720" w:right="567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8. Критерии отбора на вакансию: интерес к проблематике исследовательского проекта, аналитические компетенции, знакомство с историей России Нового времени, коммуникабельность, ораторские навыки, лидерские качества.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Распределение по вакансиям осуществляется на установочном семинаре проекта, основываясь, в т.ч., на данных, указанных заявителями в мотивационных письмах и резюме.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вакансий на проекте (25) обусловлено тем, что потребуется проанализировать обширный пласт рукописного архивного материала (стандартное судебно-следственное дело занимает порядка 60-90 страниц; общее количество дел, предложенных для анализа участникам проекта, составит от 15 до 25) и иных источников. Работа потребует существенных коллективных усилий, которые представляется возможным мобилизовать исключительно в указанном численном составе.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Письменный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Оитог = Оиссл*0,8+Оакт*0,2, где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Оакт - оценка активности участника проекта (вовлеченность в групповые обсуждения, выступление на научных мероприятиях)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Оиссл - оценка исследовательского вклада (успешная и результативная работа с архивными и иными материалами)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навыков расшифровки и анализа архивной документации, интерпретации фактологической составляющей в судебно-следственных делах исторического периода. Знакомство с методологией междисциплинарных исследований.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Онлайн / Покровский б-р, 11 / Б. Трехсвятительский пер., 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История искусств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Политология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Культурология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lenddgaEbVBfZP5wXNqk7Vx7g==">AMUW2mUrU58UF5dsteZp5e4ecnhpxAi97qQKug0D7fObg7TWs/6IvwR7Ff3txKSN7Inur4rzZjNMsbUK3Yzt1Bak+Sl71Ez8LfEMdodISpG1a1eXbq3qVm9SwfJ7DqWxeKo9XR6giXn1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