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before="240" w:after="240"/>
        <w:ind w:right="560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Основной текст"/>
        <w:spacing w:before="240" w:after="240"/>
        <w:ind w:right="56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Для практической подготовки в форме проекта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инициатор – работник НИУ ВШЭ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[1])</w:t>
      </w:r>
    </w:p>
    <w:p>
      <w:pPr>
        <w:pStyle w:val="Основной текст"/>
        <w:spacing w:before="240" w:after="240"/>
        <w:ind w:right="56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</w:p>
    <w:tbl>
      <w:tblPr>
        <w:tblW w:w="889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0"/>
        <w:gridCol w:w="4785"/>
      </w:tblGrid>
      <w:tr>
        <w:tblPrEx>
          <w:shd w:val="clear" w:color="auto" w:fill="ced7e7"/>
        </w:tblPrEx>
        <w:trPr>
          <w:trHeight w:val="87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элемента практической подготовки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Проект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Если проект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Исследовательский</w:t>
            </w:r>
          </w:p>
        </w:tc>
      </w:tr>
      <w:tr>
        <w:tblPrEx>
          <w:shd w:val="clear" w:color="auto" w:fill="ced7e7"/>
        </w:tblPrEx>
        <w:trPr>
          <w:trHeight w:val="23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Общения и психоэмоциональное состояние участников реальных и компьютерно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опосредованных встреч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Лаборатория социальной и когнитивной информатики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Петербургская школа социальных наук и востоковедения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hd w:val="clear" w:color="auto" w:fill="ffffff"/>
              <w:spacing w:before="240" w:after="240"/>
              <w:ind w:right="560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Марарица Лариса Валерьевна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Основное место работы руководителя проекта в НИУ ВШЭ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hd w:val="clear" w:color="auto" w:fill="ffffff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Петербургский государственный университет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руководителя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hd w:val="clear" w:color="auto" w:fill="ffffff"/>
              <w:spacing w:before="240" w:after="240"/>
              <w:ind w:right="560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lmararicza@hse.ru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Соруководители проекта от НИУ ВШЭ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имеются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hd w:val="clear" w:color="auto" w:fill="ffffff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Кольцова Олеся Юрьевна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соруководителей от НИУ ВШЭ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hd w:val="clear" w:color="auto" w:fill="ffffff"/>
              <w:spacing w:before="240" w:after="240"/>
              <w:ind w:right="560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olessia.koltsova@gmail.com</w:t>
            </w:r>
          </w:p>
        </w:tc>
      </w:tr>
      <w:tr>
        <w:tblPrEx>
          <w:shd w:val="clear" w:color="auto" w:fill="ced7e7"/>
        </w:tblPrEx>
        <w:trPr>
          <w:trHeight w:val="5358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hd w:val="clear" w:color="auto" w:fill="ffffff"/>
              <w:spacing w:before="240" w:after="240"/>
              <w:ind w:right="560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Исследование нацелено на изучение влияния опосредованной коммуникации в формате видеовстреч на качество общения и психоэмоциональное состояние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shd w:val="clear" w:color="auto" w:fill="ffffff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Это состояние и качество будут измеряться консервативным образом – через опросные методы и методы наблюдения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 также будут использованы объективные маркеры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окситоцин как биомаркер и распознавание эмоциональных реакций участников коммуникации посредством автоматизированных решений как цифровой маркер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7590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hd w:val="clear" w:color="auto" w:fill="ffffff"/>
              <w:spacing w:before="240" w:after="240"/>
              <w:ind w:right="56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получение нового знания об эффектах формата коммуникации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онлайн или общение лицом к лицу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 психоэмоциональное благополучие и качество общения людей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shd w:val="clear" w:color="auto" w:fill="ffffff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Задачи</w:t>
            </w:r>
          </w:p>
          <w:p>
            <w:pPr>
              <w:pStyle w:val="Основной текст"/>
              <w:bidi w:val="0"/>
              <w:ind w:left="720" w:right="0" w:hanging="3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</w:t>
            </w:r>
            <w:r>
              <w:rPr>
                <w:shd w:val="nil" w:color="auto" w:fill="auto"/>
                <w:rtl w:val="0"/>
                <w:lang w:val="ru-RU"/>
              </w:rPr>
              <w:t>Провести теоретический анализ с целью определить ключевые особенности и эффекты опосредованной коммуникации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влияющие на психоэмоциональное состояние человека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0" w:hanging="36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</w:t>
            </w:r>
            <w:r>
              <w:rPr>
                <w:shd w:val="nil" w:color="auto" w:fill="auto"/>
                <w:rtl w:val="0"/>
                <w:lang w:val="ru-RU"/>
              </w:rPr>
              <w:t>Разработать дизайн исследования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позволяющий оценить влияние формата коммуникации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онлайн или общение лицом к лицу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на психоэмоциональное состояние участников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0" w:hanging="360"/>
              <w:jc w:val="left"/>
              <w:rPr>
                <w:rtl w:val="0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3.  </w:t>
            </w:r>
            <w:r>
              <w:rPr>
                <w:rFonts w:ascii="Arial" w:hAnsi="Arial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Провести исследование с участием людей для изучения влияния формата коммуникации 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онлайн или общение лицом к лицу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на психоэмоциональное состояние участников коммуникации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151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Проектное задание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ind w:left="720" w:right="560" w:hanging="360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Участие в обзоре исследований для сравнительного анализа влияния оффлайн и онлайн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 формате видео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конференции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коммуникации на благополучие человека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Подбор методик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позволяющих фиксировать объем оффлайн и онлайн коммуникации для исследования влияния формата коммуникации на субъективное благополучие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Сбор опросных данных об объеме коммуникации онлайн и оффлайн и субъективном благополучии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 разных выборках в дистанционном формате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Формирование базы данных опросной части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5.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Анализ и интерпретация полученных данных по опросной части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6.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Участие в сборе экспериментальных данных с использованием как опросных методов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так и биоматериала в исследовании о качестве общения и психоэмоциональном состоянии участников оффлайн и онлайн встреч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992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numPr>
                <w:ilvl w:val="0"/>
                <w:numId w:val="1"/>
              </w:numPr>
              <w:spacing w:before="240"/>
              <w:ind w:right="560"/>
              <w:rPr>
                <w:rFonts w:ascii="Times New Roman" w:hAnsi="Times New Roman" w:hint="default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Методика оценки соотношения синхронной онлайн и оффлайн коммуникации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Основной текст"/>
              <w:numPr>
                <w:ilvl w:val="0"/>
                <w:numId w:val="1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База данных опросного исследования о связи соотношения синхронной онлайн и оффлайн коммуникации с субъективным благополучием человека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Дата начала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17.10.2022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Дата окончания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30.06.202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rtl w:val="0"/>
                <w:lang w:val="ru-RU"/>
              </w:rPr>
              <w:t>кредитов в зависимости от вакансии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Предполагаемое количество участников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вакантных мест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 проектной команде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3800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  <w:rPr>
                <w:i w:val="1"/>
                <w:iCs w:val="1"/>
                <w:sz w:val="26"/>
                <w:szCs w:val="26"/>
                <w:shd w:val="nil" w:color="auto" w:fill="auto"/>
              </w:rPr>
            </w:pP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Названия вакансий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ролей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краткое описание задач по каждой вакансии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количество кредитов и критерии отбора для участников проекта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характер работ для всех участников совпадает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описывается одна вакансия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Кредиты на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участника рассчитываются по формуле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продолжительность в неделях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проекта в часах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 25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1: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стажёр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исследователь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numPr>
                <w:ilvl w:val="0"/>
                <w:numId w:val="2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Участие в обзоре исследований для сравнительного анализа влияния оффлайн и онлайн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 формате видео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конференции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коммуникации на благополучие человека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Подбор методик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позволяющих фиксировать объем оффлайн и онлайн коммуникации для исследования влияния формата коммуникации на субъективное благополучие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Сбор опросных данных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Формирование базы данных опросной части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5.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Анализ и интерпретация полученных данных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6.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Участие в сборе экспериментальных данных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6 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кредитов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опыт проведения опросных исследований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обработки и описания их результатов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Навыки работы с научной литературой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Английский язык уровень 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и выше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Английский язык уровень 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и выше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2: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помощник экспериментатора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numPr>
                <w:ilvl w:val="0"/>
                <w:numId w:val="3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Сбор экспериментальных данных в том числе биоматериалов в исследовании эффектов коммуникации онлайн и оффлайн на субъективное благополучие и качество общения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numPr>
                <w:ilvl w:val="0"/>
                <w:numId w:val="4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Организация и взаимодействие с участниками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Участие в формировании базы данных по результатам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Разметка текстовых и видеоматериалов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собранных в экспериментальном исследовании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кредита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желателен опыт проведения экспериментов в области социальных наук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психологии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готовность работать с биоматериалами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слюна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3: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разметка и обработка данных эксперимента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numPr>
                <w:ilvl w:val="0"/>
                <w:numId w:val="5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Разметка текстовых и видеоматериалов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собранных в экспериментальном исследовании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Участие в формировании базы данных по результатам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ind w:right="560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bidi w:val="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кредита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желателен опыт участия в исследования с контент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анализом или разметкой данных</w:t>
            </w:r>
          </w:p>
        </w:tc>
      </w:tr>
      <w:tr>
        <w:tblPrEx>
          <w:shd w:val="clear" w:color="auto" w:fill="ced7e7"/>
        </w:tblPrEx>
        <w:trPr>
          <w:trHeight w:val="12027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  <w:rPr>
                <w:i w:val="1"/>
                <w:iCs w:val="1"/>
                <w:sz w:val="26"/>
                <w:szCs w:val="26"/>
                <w:shd w:val="nil" w:color="auto" w:fill="auto"/>
              </w:rPr>
            </w:pP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Названия вакансий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ролей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краткое описание задач по каждой вакансии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количество кредитов и критерии отбора для участников проекта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характер работ для всех участников совпадает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описывается одна вакансия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Кредиты на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участника рассчитываются по формуле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продолжительность в неделях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проекта в часах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 25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2: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помощник экспериментатора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numPr>
                <w:ilvl w:val="0"/>
                <w:numId w:val="6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Сбор экспериментальных данных в том числе биоматериалов в исследовании эффектов коммуникации онлайн и оффлайн на субъективное благополучие и качество общения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numPr>
                <w:ilvl w:val="0"/>
                <w:numId w:val="8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Организация и взаимодействие с участниками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Участие в формировании базы данных по результатам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Разметка текстовых и видеоматериалов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собранных в экспериментальном исследовании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кредита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желателен опыт проведения экспериментов в области социальных наук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психологии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готовность работать с биоматериалами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слюна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459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  <w:rPr>
                <w:i w:val="1"/>
                <w:iCs w:val="1"/>
                <w:sz w:val="26"/>
                <w:szCs w:val="26"/>
                <w:shd w:val="nil" w:color="auto" w:fill="auto"/>
              </w:rPr>
            </w:pP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Названия вакансий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ролей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краткое описание задач по каждой вакансии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количество кредитов и критерии отбора для участников проекта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характер работ для всех участников совпадает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описывается одна вакансия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Кредиты на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участника рассчитываются по формуле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продолжительность в неделях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проекта в часах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 25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3: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разметка и обработка данных эксперимента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numPr>
                <w:ilvl w:val="0"/>
                <w:numId w:val="9"/>
              </w:numPr>
              <w:bidi w:val="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Разметка текстовых и видеоматериалов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собранных в экспериментальном исследовании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ind w:left="720" w:right="560" w:hanging="36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Участие в формировании базы данных по результатам исследования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ind w:right="560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bidi w:val="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кредита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желателен опыт участия в исследования с контент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анализом или разметкой данных</w:t>
            </w:r>
          </w:p>
        </w:tc>
      </w:tr>
      <w:tr>
        <w:tblPrEx>
          <w:shd w:val="clear" w:color="auto" w:fill="ced7e7"/>
        </w:tblPrEx>
        <w:trPr>
          <w:trHeight w:val="1755" w:hRule="atLeast"/>
        </w:trPr>
        <w:tc>
          <w:tcPr>
            <w:tcW w:type="dxa" w:w="411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Общее количество кредитов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Сумма кредитов за проект в целом</w:t>
            </w:r>
          </w:p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студент может получить от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кредитов в зависимости от вакансии</w:t>
            </w:r>
          </w:p>
        </w:tc>
      </w:tr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Экзамен по Вакансии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1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Зачет по Вакансии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Отчет и база данных</w:t>
            </w:r>
          </w:p>
        </w:tc>
      </w:tr>
      <w:tr>
        <w:tblPrEx>
          <w:shd w:val="clear" w:color="auto" w:fill="ced7e7"/>
        </w:tblPrEx>
        <w:trPr>
          <w:trHeight w:val="2030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Формула оценки результатов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0,5 (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регулярность работы и степень вовлеченности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) + 0,5 (</w:t>
            </w:r>
            <w:r>
              <w:rPr>
                <w:rFonts w:ascii="Times New Roman" w:hAnsi="Times New Roman" w:hint="default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результат работы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shd w:val="nil" w:color="auto" w:fill="auto"/>
                <w:rtl w:val="0"/>
                <w:lang w:val="ru-RU"/>
              </w:rPr>
              <w:t>) = 1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592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Ожидаемые образовательные результаты проекта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left="360" w:right="56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Вакансия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1</w:t>
            </w:r>
          </w:p>
          <w:p>
            <w:pPr>
              <w:pStyle w:val="Основной текст"/>
              <w:bidi w:val="0"/>
              <w:spacing w:before="240" w:after="240"/>
              <w:ind w:left="36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Arial" w:hAnsi="Arial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Навыки работы с научной литературой</w:t>
            </w:r>
          </w:p>
          <w:p>
            <w:pPr>
              <w:pStyle w:val="Основной текст"/>
              <w:bidi w:val="0"/>
              <w:spacing w:before="240" w:after="240"/>
              <w:ind w:left="36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Arial" w:hAnsi="Arial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Навыки сбора данных у респондентов</w:t>
            </w:r>
          </w:p>
          <w:p>
            <w:pPr>
              <w:pStyle w:val="Основной текст"/>
              <w:bidi w:val="0"/>
              <w:spacing w:before="240" w:after="240"/>
              <w:ind w:left="36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Arial" w:hAnsi="Arial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</w:t>
              <w:tab/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Навыки статистического анализа данных</w:t>
            </w:r>
          </w:p>
          <w:p>
            <w:pPr>
              <w:pStyle w:val="Основной текст"/>
              <w:bidi w:val="0"/>
              <w:spacing w:before="240" w:after="240"/>
              <w:ind w:left="360" w:right="560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Вакансия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3</w:t>
            </w:r>
          </w:p>
          <w:p>
            <w:pPr>
              <w:pStyle w:val="Основной текст"/>
              <w:numPr>
                <w:ilvl w:val="0"/>
                <w:numId w:val="10"/>
              </w:numPr>
              <w:bidi w:val="0"/>
              <w:spacing w:before="24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сбор данных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качественный анализ</w:t>
            </w:r>
          </w:p>
          <w:p>
            <w:pPr>
              <w:pStyle w:val="Основной текст"/>
              <w:numPr>
                <w:ilvl w:val="0"/>
                <w:numId w:val="10"/>
              </w:numPr>
              <w:bidi w:val="0"/>
              <w:spacing w:after="240"/>
              <w:ind w:right="560"/>
              <w:jc w:val="left"/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подготовка и проведение экспериментальных исследований</w:t>
            </w:r>
          </w:p>
        </w:tc>
      </w:tr>
      <w:tr>
        <w:tblPrEx>
          <w:shd w:val="clear" w:color="auto" w:fill="ced7e7"/>
        </w:tblPrEx>
        <w:trPr>
          <w:trHeight w:val="232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Особенности реализации проекта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территория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информационные ресурсы и т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Лаборатория Социальной и когнитивной информатики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сновной текст"/>
              <w:bidi w:val="0"/>
              <w:spacing w:before="240" w:after="240"/>
              <w:ind w:left="0" w:right="56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Седова 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55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2, 202 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аудитория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240" w:after="240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МП «Современный социальный анализ»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резюме студента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4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мотивированное письмо студента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0"/>
            </w:tcMar>
            <w:vAlign w:val="top"/>
          </w:tcPr>
          <w:p>
            <w:pPr>
              <w:pStyle w:val="Основной текст"/>
              <w:spacing w:before="240" w:after="240"/>
              <w:ind w:right="560"/>
            </w:pP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</w:tbl>
    <w:p>
      <w:pPr>
        <w:pStyle w:val="Основной текст"/>
        <w:widowControl w:val="0"/>
        <w:spacing w:before="240" w:after="240" w:line="240" w:lineRule="auto"/>
        <w:ind w:left="2" w:hanging="2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spacing w:before="240" w:after="240"/>
        <w:ind w:right="56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Основной текст"/>
        <w:spacing w:before="240" w:after="240"/>
        <w:ind w:right="56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Основной текст"/>
        <w:spacing w:before="240" w:after="240"/>
        <w:ind w:right="56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Основной текст"/>
        <w:spacing w:before="240" w:after="240"/>
        <w:ind w:right="56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</w:pPr>
    </w:p>
    <w:p>
      <w:pPr>
        <w:pStyle w:val="Основной текст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727573" cy="18358"/>
                <wp:effectExtent l="0" t="0" r="0" b="0"/>
                <wp:docPr id="1073741825" name="officeArt object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Основной текст"/>
        <w:spacing w:before="240" w:after="240"/>
        <w:jc w:val="both"/>
      </w:pPr>
      <w:r>
        <w:rPr>
          <w:rFonts w:ascii="Times New Roman" w:hAnsi="Times New Roman"/>
          <w:sz w:val="18"/>
          <w:szCs w:val="18"/>
          <w:rtl w:val="0"/>
          <w:lang w:val="pt-PT"/>
        </w:rPr>
        <w:t xml:space="preserve">[1]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Не исключается реализация проектов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инициированных работником НИУ ВШЭ с привлечением организаций</w:t>
      </w:r>
      <w:r>
        <w:rPr>
          <w:rFonts w:ascii="Times New Roman" w:hAnsi="Times New Roman"/>
          <w:sz w:val="18"/>
          <w:szCs w:val="18"/>
          <w:rtl w:val="0"/>
        </w:rPr>
        <w:t>-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партнеров</w:t>
      </w:r>
      <w:r>
        <w:rPr>
          <w:rFonts w:ascii="Times New Roman" w:hAnsi="Times New Roman"/>
          <w:sz w:val="18"/>
          <w:szCs w:val="1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startOverride w:val="2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