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eastAsia="Arial" w:cs="Times New Roman"/>
          <w:b/>
          <w:b/>
          <w:sz w:val="26"/>
          <w:szCs w:val="26"/>
          <w:lang w:val="ru-RU" w:eastAsia="ru-RU"/>
        </w:rPr>
      </w:pPr>
      <w:r>
        <w:rPr>
          <w:rFonts w:eastAsia="Arial" w:cs="Times New Roman" w:ascii="Times New Roman" w:hAnsi="Times New Roman"/>
          <w:b/>
          <w:sz w:val="26"/>
          <w:szCs w:val="26"/>
          <w:lang w:val="ru-RU" w:eastAsia="ru-RU"/>
        </w:rPr>
        <w:t>Проектное предложение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75"/>
        <w:gridCol w:w="5069"/>
      </w:tblGrid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bidi="ar-SA"/>
              </w:rPr>
              <w:t>Тип элемента практической подготовки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Проект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bidi="ar-SA"/>
              </w:rPr>
              <w:t>Если проект, тип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сервисный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bidi="ar-SA"/>
              </w:rPr>
              <w:t>Наименование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bidi="ar-SA"/>
              </w:rPr>
              <w:t xml:space="preserve">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bidi="ar-SA"/>
              </w:rPr>
              <w:t>«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bidi="ar-SA"/>
              </w:rPr>
              <w:t>Аналитика политической прессы на французском языке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bidi="ar-SA"/>
              </w:rPr>
              <w:t>»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bidi="ar-SA"/>
              </w:rPr>
              <w:t>Подразделение инициатор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bidi="ar-SA"/>
              </w:rPr>
              <w:t>Департамент иностранных языков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bidi="ar-SA"/>
              </w:rPr>
              <w:t>Руководитель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Кириченко Владислав Владимирович</w:t>
            </w:r>
          </w:p>
        </w:tc>
      </w:tr>
      <w:tr>
        <w:trPr/>
        <w:tc>
          <w:tcPr>
            <w:tcW w:w="4275" w:type="dxa"/>
            <w:tcBorders>
              <w:top w:val="nil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right="5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bidi="ar-SA"/>
              </w:rPr>
              <w:t>Заказчик проекта / востребованность проекта</w:t>
            </w:r>
          </w:p>
        </w:tc>
        <w:tc>
          <w:tcPr>
            <w:tcW w:w="5069" w:type="dxa"/>
            <w:tcBorders>
              <w:top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/>
                <w:kern w:val="0"/>
                <w:sz w:val="26"/>
                <w:szCs w:val="26"/>
                <w:lang w:val="ru-RU" w:bidi="ar-SA"/>
              </w:rPr>
              <w:t>3 курс ОП «Политология и мировая политика» НИУ ВШЭ СПб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bidi="ar-SA"/>
              </w:rPr>
              <w:t xml:space="preserve">Основное место работы руководителя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проекта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bidi="ar-SA"/>
              </w:rPr>
              <w:t>в НИУ ВШЭ</w:t>
            </w:r>
            <w:bookmarkStart w:id="0" w:name="_GoBack"/>
            <w:bookmarkEnd w:id="0"/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Преподаватель департамента иностранных языков НИУ ВШЭ СП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б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bidi="ar-SA"/>
              </w:rPr>
              <w:t>Контакты руководителя (адрес эл. почты)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kern w:val="0"/>
                <w:sz w:val="26"/>
                <w:szCs w:val="26"/>
                <w:lang w:val="en-US" w:bidi="ar-SA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en-US" w:bidi="ar-SA"/>
              </w:rPr>
              <w:t>vkirichenko@hse.ru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bidi="ar-SA"/>
              </w:rPr>
              <w:t>Соруководители проекта от НИУ ВШЭ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 (если имеются)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67" w:hanging="0"/>
              <w:jc w:val="left"/>
              <w:rPr>
                <w:rFonts w:ascii="Times New Roman" w:hAnsi="Times New Roman" w:eastAsia="Arial" w:cs="Times New Roman"/>
                <w:i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Arial"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нет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bidi="ar-SA"/>
              </w:rPr>
              <w:t>Контакты соруководителей от НИУ ВШЭ (адрес эл. почты)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нет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>Основная проектная идея / описание решаемой проблемы</w:t>
            </w:r>
          </w:p>
        </w:tc>
        <w:tc>
          <w:tcPr>
            <w:tcW w:w="5069" w:type="dxa"/>
            <w:tcBorders/>
          </w:tcPr>
          <w:p>
            <w:pPr>
              <w:pStyle w:val="Normal1"/>
              <w:widowControl w:val="false"/>
              <w:shd w:val="clear" w:fill="FFFFFF"/>
              <w:spacing w:lineRule="auto" w:line="240" w:before="0" w:after="0"/>
              <w:ind w:right="567" w:hanging="0"/>
              <w:jc w:val="left"/>
              <w:rPr>
                <w:rFonts w:ascii="Times New Roman" w:hAnsi="Times New Roman" w:eastAsia="Times New Roman" w:cs="Times New Roman"/>
                <w:i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Проект посвящен углублению языковых, культурологических и политологических знаний на материале французской прессы. В рамках проекта студенты будут работать с различными журналистскими текстами на французском языке на политическую тематику, анализировать их состав (структура, тематика, риторика, стиль), коллективно обсуждать, делать пересказ предложенных текстов, самостоятельно предлагать и производить изложение французской прессы. 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 xml:space="preserve">Цель </w:t>
            </w: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 xml:space="preserve">и задачи </w:t>
            </w: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>проекта</w:t>
            </w: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en-US" w:bidi="ar-SA"/>
              </w:rPr>
              <w:t xml:space="preserve">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67" w:hanging="0"/>
              <w:jc w:val="left"/>
              <w:rPr>
                <w:rFonts w:ascii="Times New Roman" w:hAnsi="Times New Roman" w:eastAsia="Arial" w:cs="Times New Roman"/>
                <w:i/>
                <w:i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Arial" w:cs="Times New Roman" w:ascii="Times New Roman" w:hAnsi="Times New Roman"/>
                <w:i/>
                <w:kern w:val="0"/>
                <w:sz w:val="26"/>
                <w:szCs w:val="26"/>
                <w:lang w:val="ru-RU" w:eastAsia="ru-RU" w:bidi="ar-SA"/>
              </w:rPr>
              <w:t>Целями проекта являются повышение уровня владения французским языком и установление особенностей современного французского политического дискурса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 xml:space="preserve">Проектное задание </w:t>
            </w:r>
          </w:p>
        </w:tc>
        <w:tc>
          <w:tcPr>
            <w:tcW w:w="5069" w:type="dxa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 xml:space="preserve">Проект делится на два этапа: подготовительный (первый модуль) – чтение и перевод заранее отобранных руководителем текстов; самостоятельный отбор (второй и третий) журналистского материала по политической тематике.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 xml:space="preserve">В ходе проекта студенты ознакомятся с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>французскими журналистскими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 xml:space="preserve"> текстами на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>политическую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 xml:space="preserve"> тематику. 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 xml:space="preserve">На первом этапе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 xml:space="preserve">студенты будут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>анализировать тексты, в частности, их композицию, проблематику, риторику, стиль и социально-дискурсивные особенности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>После изучения  и коллективного обсуждения текста студентам будет предложено устное краткое изложение основных положений текста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 xml:space="preserve">. 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>На втором этапе студенты будут самостоятельно отбирать материалы прессы на французском, презентовать их в виде устного резюме и последующей краткой дискуссией.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 xml:space="preserve">В конце проекта каждый участник должен будет представить какой-либо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>журналистский политический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6"/>
                <w:szCs w:val="26"/>
              </w:rPr>
              <w:t xml:space="preserve"> текст, имеющий отношение к его теме дипломной работы, тщательно его проанализировать.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– </w:t>
            </w:r>
            <w:r>
              <w:rPr>
                <w:rFonts w:eastAsia="Arial"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способность к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 самостоятельному анализу французской прессой</w:t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>различение структурных, риторических и стилистических элементов французской прессы</w:t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– </w:t>
            </w:r>
            <w:r>
              <w:rPr>
                <w:rFonts w:eastAsia="Arial"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дифференциация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 жанров французской прессы</w:t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>освоение, узнавание и речевое применение политической и социальной лексики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Default"/>
              <w:widowControl/>
              <w:spacing w:before="0" w:after="0"/>
              <w:ind w:right="567" w:hanging="0"/>
              <w:jc w:val="left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kern w:val="0"/>
                <w:sz w:val="26"/>
                <w:szCs w:val="26"/>
                <w:lang w:val="ru-RU" w:eastAsia="ru-RU" w:bidi="ar-SA"/>
              </w:rPr>
              <w:t>Дата начала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01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.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09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.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2023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Default"/>
              <w:widowControl/>
              <w:spacing w:before="0" w:after="0"/>
              <w:ind w:right="567" w:hanging="0"/>
              <w:jc w:val="left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kern w:val="0"/>
                <w:sz w:val="26"/>
                <w:szCs w:val="26"/>
                <w:lang w:val="ru-RU" w:eastAsia="ru-RU" w:bidi="ar-SA"/>
              </w:rPr>
              <w:t>Дата окончания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31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.</w:t>
            </w:r>
            <w:r>
              <w:rPr>
                <w:rFonts w:eastAsia="Arial"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03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.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2024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>Трудоемкость (часы в неделю) на одного участника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Arial"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Default"/>
              <w:widowControl/>
              <w:spacing w:before="0" w:after="0"/>
              <w:ind w:right="567" w:hanging="0"/>
              <w:jc w:val="left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kern w:val="0"/>
                <w:sz w:val="26"/>
                <w:szCs w:val="26"/>
                <w:lang w:val="ru-RU" w:eastAsia="ru-RU" w:bidi="ar-SA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12</w:t>
            </w:r>
          </w:p>
        </w:tc>
      </w:tr>
      <w:tr>
        <w:trPr>
          <w:trHeight w:val="140" w:hRule="atLeast"/>
        </w:trPr>
        <w:tc>
          <w:tcPr>
            <w:tcW w:w="4275" w:type="dxa"/>
            <w:vMerge w:val="restart"/>
            <w:tcBorders/>
          </w:tcPr>
          <w:p>
            <w:pPr>
              <w:pStyle w:val="Default"/>
              <w:widowControl/>
              <w:spacing w:before="0" w:after="0"/>
              <w:ind w:right="567" w:hanging="0"/>
              <w:jc w:val="left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/>
                <w:i/>
                <w:color w:val="auto"/>
                <w:kern w:val="0"/>
                <w:sz w:val="26"/>
                <w:szCs w:val="26"/>
                <w:lang w:val="ru-RU" w:eastAsia="ru-RU" w:bidi="ar-SA"/>
              </w:rPr>
              <w:t>(если характер работ для всех участников совпадает, описывается одна вакансия)</w:t>
            </w:r>
          </w:p>
          <w:p>
            <w:pPr>
              <w:pStyle w:val="Default"/>
              <w:widowControl/>
              <w:spacing w:before="0" w:after="0"/>
              <w:ind w:right="567" w:hanging="0"/>
              <w:jc w:val="left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Default"/>
              <w:widowControl/>
              <w:spacing w:before="0" w:after="0"/>
              <w:ind w:right="567" w:hanging="0"/>
              <w:jc w:val="left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Default"/>
              <w:widowControl/>
              <w:spacing w:before="0" w:after="0"/>
              <w:ind w:right="567" w:hanging="0"/>
              <w:jc w:val="left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Default"/>
              <w:widowControl/>
              <w:spacing w:before="0" w:after="0"/>
              <w:ind w:right="567" w:hanging="0"/>
              <w:jc w:val="left"/>
              <w:rPr>
                <w:rFonts w:eastAsia="Arial"/>
                <w:i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i/>
                <w:color w:val="auto"/>
                <w:kern w:val="0"/>
                <w:sz w:val="26"/>
                <w:szCs w:val="26"/>
                <w:lang w:val="ru-RU" w:eastAsia="ru-RU" w:bidi="ar-SA"/>
              </w:rPr>
              <w:t>Кредиты на 1 участника р</w:t>
            </w:r>
            <w:r>
              <w:rPr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ассчитываются по формуле: продолжительность в неделях * трудоемкость проекта в часах / 25</w:t>
            </w:r>
          </w:p>
          <w:p>
            <w:pPr>
              <w:pStyle w:val="Default"/>
              <w:widowControl/>
              <w:spacing w:before="0" w:after="0"/>
              <w:ind w:right="567" w:hanging="0"/>
              <w:jc w:val="left"/>
              <w:rPr>
                <w:sz w:val="26"/>
                <w:szCs w:val="26"/>
              </w:rPr>
            </w:pPr>
            <w:r>
              <w:rPr>
                <w:rFonts w:eastAsia="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Вакансия №1:</w:t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Задачи: 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участие в выполнении работы, описанной в проектном задании.</w:t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Количество кредитов: 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6</w:t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Критерии отбора на вакансию: 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французский язык не ниже 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en-US" w:bidi="ar-SA"/>
              </w:rPr>
              <w:t xml:space="preserve">B1 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или </w:t>
            </w:r>
            <w:r>
              <w:rPr>
                <w:rFonts w:eastAsia="Arial"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оценка не ниже 7 баллов</w:t>
            </w:r>
          </w:p>
        </w:tc>
      </w:tr>
      <w:tr>
        <w:trPr>
          <w:trHeight w:val="250" w:hRule="atLeast"/>
        </w:trPr>
        <w:tc>
          <w:tcPr>
            <w:tcW w:w="4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0"/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Общее к</w:t>
            </w: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>оличество кредитов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eastAsia="Arial" w:cs="Times New Roman"/>
                <w:i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Arial"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72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>Форма итогового контроля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eastAsia="Arial" w:cs="Times New Roman"/>
                <w:i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Arial"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Экзамен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eastAsia="Arial" w:cs="Times New Roman"/>
                <w:i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Arial"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Устный ответ, текст, презентация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Default"/>
              <w:widowControl/>
              <w:spacing w:before="0" w:after="0"/>
              <w:ind w:right="567" w:hanging="0"/>
              <w:jc w:val="left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kern w:val="0"/>
                <w:sz w:val="26"/>
                <w:szCs w:val="26"/>
                <w:lang w:val="ru" w:eastAsia="ru-RU" w:bidi="ar-SA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>Формула: a*0,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2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>+b*0,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4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>+c*0,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4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>, где</w:t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 xml:space="preserve">a – работа в группе (чтение, анализ </w:t>
            </w:r>
            <w:r>
              <w:rPr>
                <w:rFonts w:eastAsia="Arial"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прессы, релевантное участие в обсуждение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>b – подготовленные устные выступления (</w:t>
            </w:r>
            <w:r>
              <w:rPr>
                <w:rFonts w:eastAsia="Arial"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краткие изложения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 xml:space="preserve">c – </w:t>
            </w:r>
            <w:r>
              <w:rPr>
                <w:rFonts w:eastAsia="Arial"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самостоятельная презентация подготовленного и проанализированного материала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>нет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Ожидаемые о</w:t>
            </w: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 xml:space="preserve">бразовательные результаты проекта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Студенты познакомятся с различными жанрами политической прессы, овладеют лексическим материалом политической тематики, обретут компетенции краткого и </w:t>
            </w:r>
            <w:r>
              <w:rPr>
                <w:rFonts w:eastAsia="Arial"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подробного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 изложения комплексного журналистского текста, укрепят и разовьют </w:t>
            </w:r>
            <w:r>
              <w:rPr>
                <w:rFonts w:eastAsia="Arial"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общие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 навыки владения французским языком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Default"/>
              <w:widowControl/>
              <w:spacing w:before="0" w:after="0"/>
              <w:ind w:right="567" w:hanging="0"/>
              <w:jc w:val="left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kern w:val="0"/>
                <w:sz w:val="26"/>
                <w:szCs w:val="26"/>
                <w:lang w:val="ru" w:eastAsia="ru-RU" w:bidi="ar-SA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i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>Адрес, график, ре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kern w:val="0"/>
                <w:sz w:val="26"/>
                <w:szCs w:val="26"/>
                <w:lang w:val="ru-RU" w:bidi="ar-SA"/>
              </w:rPr>
              <w:t>сурсы</w:t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наб. канала Грибоедова, 123, лит. А, Санкт-Петербург,</w:t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Одна очная встреча в неделю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6"/>
                <w:szCs w:val="26"/>
                <w:lang w:bidi="ar-SA"/>
              </w:rPr>
              <w:t>Рекомендуемые образовательные программы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 xml:space="preserve">Политология и мировая политика, 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bidi="ar-SA"/>
              </w:rPr>
              <w:t>филология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Требуется резюме студента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>нет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Требуется мотивированное письмо студента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67"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6"/>
                <w:szCs w:val="26"/>
                <w:lang w:bidi="ar-SA"/>
              </w:rPr>
              <w:t>нет</w:t>
            </w:r>
          </w:p>
        </w:tc>
      </w:tr>
    </w:tbl>
    <w:p>
      <w:pPr>
        <w:pStyle w:val="Normal"/>
        <w:spacing w:lineRule="auto" w:line="240"/>
        <w:ind w:right="567" w:hanging="0"/>
        <w:rPr>
          <w:rFonts w:ascii="Times New Roman" w:hAnsi="Times New Roman" w:cs="Times New Roman"/>
          <w:sz w:val="26"/>
          <w:szCs w:val="26"/>
          <w:lang w:val="en-US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6567205"/>
    </w:sdtPr>
    <w:sdtContent>
      <w:p>
        <w:pPr>
          <w:pStyle w:val="Style30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4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3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6f4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765ee9"/>
    <w:rPr>
      <w:rFonts w:ascii="Arial" w:hAnsi="Arial" w:eastAsia="Arial" w:cs="Arial"/>
      <w:sz w:val="20"/>
      <w:szCs w:val="20"/>
      <w:lang w:val="ru"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5ee9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55643e"/>
    <w:rPr>
      <w:rFonts w:ascii="Segoe UI" w:hAnsi="Segoe UI" w:eastAsia="Arial" w:cs="Segoe UI"/>
      <w:sz w:val="18"/>
      <w:szCs w:val="18"/>
      <w:lang w:val="ru"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013f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a"/>
    <w:uiPriority w:val="99"/>
    <w:semiHidden/>
    <w:qFormat/>
    <w:rsid w:val="0022013f"/>
    <w:rPr>
      <w:rFonts w:ascii="Arial" w:hAnsi="Arial" w:eastAsia="Arial" w:cs="Arial"/>
      <w:sz w:val="20"/>
      <w:szCs w:val="20"/>
      <w:lang w:val="ru" w:eastAsia="ru-RU"/>
    </w:rPr>
  </w:style>
  <w:style w:type="character" w:styleId="Style18" w:customStyle="1">
    <w:name w:val="Тема примечания Знак"/>
    <w:basedOn w:val="Style17"/>
    <w:link w:val="ac"/>
    <w:uiPriority w:val="99"/>
    <w:semiHidden/>
    <w:qFormat/>
    <w:rsid w:val="0022013f"/>
    <w:rPr>
      <w:rFonts w:ascii="Arial" w:hAnsi="Arial" w:eastAsia="Arial" w:cs="Arial"/>
      <w:b/>
      <w:bCs/>
      <w:sz w:val="20"/>
      <w:szCs w:val="20"/>
      <w:lang w:val="ru" w:eastAsia="ru-RU"/>
    </w:rPr>
  </w:style>
  <w:style w:type="character" w:styleId="Style19" w:customStyle="1">
    <w:name w:val="Верхний колонтитул Знак"/>
    <w:basedOn w:val="DefaultParagraphFont"/>
    <w:link w:val="ae"/>
    <w:uiPriority w:val="99"/>
    <w:qFormat/>
    <w:rsid w:val="00b729ad"/>
    <w:rPr>
      <w:rFonts w:ascii="Arial" w:hAnsi="Arial" w:eastAsia="Arial" w:cs="Arial"/>
      <w:lang w:val="ru" w:eastAsia="ru-RU"/>
    </w:rPr>
  </w:style>
  <w:style w:type="character" w:styleId="Style20" w:customStyle="1">
    <w:name w:val="Нижний колонтитул Знак"/>
    <w:basedOn w:val="DefaultParagraphFont"/>
    <w:link w:val="af0"/>
    <w:uiPriority w:val="99"/>
    <w:qFormat/>
    <w:rsid w:val="00b729ad"/>
    <w:rPr>
      <w:rFonts w:ascii="Arial" w:hAnsi="Arial" w:eastAsia="Arial" w:cs="Arial"/>
      <w:lang w:val="ru" w:eastAsia="ru-RU"/>
    </w:rPr>
  </w:style>
  <w:style w:type="character" w:styleId="Style21">
    <w:name w:val="Символ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756f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7">
    <w:name w:val="Footnote Text"/>
    <w:basedOn w:val="Normal"/>
    <w:link w:val="a5"/>
    <w:uiPriority w:val="99"/>
    <w:semiHidden/>
    <w:unhideWhenUsed/>
    <w:rsid w:val="00765ee9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5643e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22013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22013f"/>
    <w:pPr/>
    <w:rPr>
      <w:b/>
      <w:bCs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"/>
    <w:uiPriority w:val="99"/>
    <w:unhideWhenUsed/>
    <w:rsid w:val="00b729ad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30">
    <w:name w:val="Footer"/>
    <w:basedOn w:val="Normal"/>
    <w:link w:val="af1"/>
    <w:uiPriority w:val="99"/>
    <w:unhideWhenUsed/>
    <w:rsid w:val="00b729ad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Normal1">
    <w:name w:val="LO-normal"/>
    <w:qFormat/>
    <w:pPr>
      <w:widowControl/>
      <w:bidi w:val="0"/>
      <w:spacing w:before="0" w:after="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lang w:eastAsia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LibreOffice/7.0.6.2$Windows_X86_64 LibreOffice_project/144abb84a525d8e30c9dbbefa69cbbf2d8d4ae3b</Application>
  <AppVersion>15.0000</AppVersion>
  <Pages>4</Pages>
  <Words>546</Words>
  <Characters>4024</Characters>
  <CharactersWithSpaces>4512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  <dc:description/>
  <dc:language>ru-RU</dc:language>
  <cp:lastModifiedBy/>
  <dcterms:modified xsi:type="dcterms:W3CDTF">2023-01-30T23:51:11Z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