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8B8DB" w14:textId="77777777" w:rsidR="00E72F9B" w:rsidRPr="00B2516F" w:rsidRDefault="00E72F9B" w:rsidP="00E72F9B">
      <w:pPr>
        <w:tabs>
          <w:tab w:val="left" w:pos="709"/>
        </w:tabs>
        <w:ind w:right="567"/>
        <w:jc w:val="center"/>
        <w:rPr>
          <w:color w:val="0D0D0D" w:themeColor="text1" w:themeTint="F2"/>
          <w:sz w:val="24"/>
          <w:szCs w:val="24"/>
        </w:rPr>
      </w:pP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9F7A2F" w:rsidRPr="00B2516F" w14:paraId="6BCC29ED" w14:textId="77777777" w:rsidTr="00F771B6">
        <w:tc>
          <w:tcPr>
            <w:tcW w:w="4275" w:type="dxa"/>
          </w:tcPr>
          <w:p w14:paraId="6A68A2F1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4B3FDB48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Проект</w:t>
            </w:r>
          </w:p>
        </w:tc>
      </w:tr>
      <w:tr w:rsidR="009F7A2F" w:rsidRPr="00B2516F" w14:paraId="661F69EA" w14:textId="77777777" w:rsidTr="00F771B6">
        <w:tc>
          <w:tcPr>
            <w:tcW w:w="4275" w:type="dxa"/>
          </w:tcPr>
          <w:p w14:paraId="127161F6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Если проект, тип проекта</w:t>
            </w:r>
          </w:p>
        </w:tc>
        <w:tc>
          <w:tcPr>
            <w:tcW w:w="5070" w:type="dxa"/>
          </w:tcPr>
          <w:p w14:paraId="22C7CD65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Прикладной  </w:t>
            </w:r>
          </w:p>
        </w:tc>
      </w:tr>
      <w:tr w:rsidR="009F7A2F" w:rsidRPr="00B2516F" w14:paraId="288037D4" w14:textId="77777777" w:rsidTr="00F771B6">
        <w:tc>
          <w:tcPr>
            <w:tcW w:w="4275" w:type="dxa"/>
          </w:tcPr>
          <w:p w14:paraId="5E2F281F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проекта</w:t>
            </w:r>
          </w:p>
        </w:tc>
        <w:tc>
          <w:tcPr>
            <w:tcW w:w="5070" w:type="dxa"/>
          </w:tcPr>
          <w:p w14:paraId="52231F9A" w14:textId="1878A39F" w:rsidR="00E72F9B" w:rsidRPr="00B2516F" w:rsidRDefault="00375B7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Оценка законодательства 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и правоприменительной практики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о государственных закупках в части пра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вил закупок научно-исследовательских </w:t>
            </w:r>
            <w:r w:rsidR="009F7A2F" w:rsidRPr="00B2516F">
              <w:rPr>
                <w:rFonts w:ascii="Times New Roman" w:hAnsi="Times New Roman" w:cs="Times New Roman"/>
                <w:color w:val="0D0D0D" w:themeColor="text1" w:themeTint="F2"/>
              </w:rPr>
              <w:t>работ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9F7A2F" w:rsidRPr="00B2516F" w14:paraId="1E7BAA97" w14:textId="77777777" w:rsidTr="00F771B6">
        <w:tc>
          <w:tcPr>
            <w:tcW w:w="4275" w:type="dxa"/>
          </w:tcPr>
          <w:p w14:paraId="59EA9489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1751216A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Департамент международного права факультета права </w:t>
            </w:r>
          </w:p>
        </w:tc>
      </w:tr>
      <w:tr w:rsidR="009F7A2F" w:rsidRPr="00B2516F" w14:paraId="7E06AA64" w14:textId="77777777" w:rsidTr="00F771B6">
        <w:tc>
          <w:tcPr>
            <w:tcW w:w="4275" w:type="dxa"/>
          </w:tcPr>
          <w:p w14:paraId="094C167C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Руководитель проекта</w:t>
            </w:r>
          </w:p>
        </w:tc>
        <w:tc>
          <w:tcPr>
            <w:tcW w:w="5070" w:type="dxa"/>
          </w:tcPr>
          <w:p w14:paraId="47074C4B" w14:textId="77777777" w:rsidR="00E72F9B" w:rsidRPr="00B2516F" w:rsidRDefault="00E72F9B" w:rsidP="00F771B6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Молодыко</w:t>
            </w:r>
            <w:proofErr w:type="spellEnd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Кирилл Юрьевич</w:t>
            </w:r>
          </w:p>
        </w:tc>
      </w:tr>
      <w:tr w:rsidR="009F7A2F" w:rsidRPr="00B2516F" w14:paraId="0F459AA4" w14:textId="77777777" w:rsidTr="00F771B6">
        <w:tc>
          <w:tcPr>
            <w:tcW w:w="4275" w:type="dxa"/>
          </w:tcPr>
          <w:p w14:paraId="60C3B3AA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4ED06BFB" w14:textId="77777777" w:rsidR="00E72F9B" w:rsidRPr="00B2516F" w:rsidRDefault="00E72F9B" w:rsidP="00F771B6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2CCB5340" w14:textId="77777777" w:rsidR="00E72F9B" w:rsidRPr="00B2516F" w:rsidRDefault="00E72F9B" w:rsidP="00F771B6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Да</w:t>
            </w:r>
          </w:p>
        </w:tc>
      </w:tr>
      <w:tr w:rsidR="009F7A2F" w:rsidRPr="00B2516F" w14:paraId="6072D304" w14:textId="77777777" w:rsidTr="00F771B6">
        <w:tc>
          <w:tcPr>
            <w:tcW w:w="4275" w:type="dxa"/>
          </w:tcPr>
          <w:p w14:paraId="7C4A37A0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6450237" w14:textId="2F8FC75C" w:rsidR="00E72F9B" w:rsidRPr="00B2516F" w:rsidRDefault="00D42CAA" w:rsidP="00F771B6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hyperlink r:id="rId8" w:history="1">
              <w:r w:rsidR="00E72F9B" w:rsidRPr="00B2516F">
                <w:rPr>
                  <w:rStyle w:val="afff"/>
                  <w:rFonts w:ascii="Times New Roman" w:hAnsi="Times New Roman" w:cs="Times New Roman"/>
                  <w:color w:val="0D0D0D" w:themeColor="text1" w:themeTint="F2"/>
                  <w:lang w:val="en-US"/>
                </w:rPr>
                <w:t>kmolodyko@hse.ru</w:t>
              </w:r>
            </w:hyperlink>
            <w:r w:rsidR="009F7A2F" w:rsidRPr="00B2516F">
              <w:rPr>
                <w:rStyle w:val="afff"/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</w:p>
        </w:tc>
      </w:tr>
      <w:tr w:rsidR="009F7A2F" w:rsidRPr="00B2516F" w14:paraId="693267F2" w14:textId="77777777" w:rsidTr="00F771B6">
        <w:tc>
          <w:tcPr>
            <w:tcW w:w="4275" w:type="dxa"/>
          </w:tcPr>
          <w:p w14:paraId="301634E5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Соруководители</w:t>
            </w:r>
            <w:proofErr w:type="spellEnd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проекта от НИУ ВШЭ (если имеются)</w:t>
            </w:r>
          </w:p>
        </w:tc>
        <w:tc>
          <w:tcPr>
            <w:tcW w:w="5070" w:type="dxa"/>
          </w:tcPr>
          <w:p w14:paraId="5EF7F301" w14:textId="430D1F0F" w:rsidR="00E72F9B" w:rsidRPr="00B2516F" w:rsidRDefault="009F7A2F" w:rsidP="00F771B6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Домбаев</w:t>
            </w:r>
            <w:proofErr w:type="spellEnd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Саламбек</w:t>
            </w:r>
            <w:proofErr w:type="spellEnd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Салаудиевич</w:t>
            </w:r>
            <w:proofErr w:type="spellEnd"/>
          </w:p>
        </w:tc>
      </w:tr>
      <w:tr w:rsidR="009F7A2F" w:rsidRPr="00B2516F" w14:paraId="6CEA2839" w14:textId="77777777" w:rsidTr="00F771B6">
        <w:tc>
          <w:tcPr>
            <w:tcW w:w="4275" w:type="dxa"/>
          </w:tcPr>
          <w:p w14:paraId="4DCA8F0C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Контакты </w:t>
            </w: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соруководителей</w:t>
            </w:r>
            <w:proofErr w:type="spellEnd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от НИУ ВШЭ (адрес эл. почты)</w:t>
            </w:r>
          </w:p>
        </w:tc>
        <w:bookmarkStart w:id="0" w:name="_GoBack"/>
        <w:tc>
          <w:tcPr>
            <w:tcW w:w="5070" w:type="dxa"/>
          </w:tcPr>
          <w:p w14:paraId="6EDE9AEB" w14:textId="3375216B" w:rsidR="00E72F9B" w:rsidRPr="00B2516F" w:rsidRDefault="00D42CAA" w:rsidP="00F771B6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>
              <w:fldChar w:fldCharType="begin"/>
            </w:r>
            <w:r>
              <w:instrText xml:space="preserve"> HYPERLINK "mailto:sdombaev@hse.ru" </w:instrText>
            </w:r>
            <w:r>
              <w:fldChar w:fldCharType="separate"/>
            </w:r>
            <w:r w:rsidR="009F7A2F" w:rsidRPr="00B2516F">
              <w:rPr>
                <w:rStyle w:val="afff"/>
                <w:rFonts w:ascii="Times New Roman" w:hAnsi="Times New Roman" w:cs="Times New Roman"/>
                <w:color w:val="0D0D0D" w:themeColor="text1" w:themeTint="F2"/>
                <w:lang w:val="en-US"/>
              </w:rPr>
              <w:t>sdombaev@hse.ru</w:t>
            </w:r>
            <w:r>
              <w:rPr>
                <w:rStyle w:val="afff"/>
                <w:color w:val="0D0D0D" w:themeColor="text1" w:themeTint="F2"/>
                <w:lang w:val="en-US"/>
              </w:rPr>
              <w:fldChar w:fldCharType="end"/>
            </w:r>
            <w:bookmarkEnd w:id="0"/>
            <w:r w:rsidR="009F7A2F" w:rsidRPr="00B2516F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</w:p>
        </w:tc>
      </w:tr>
      <w:tr w:rsidR="009F7A2F" w:rsidRPr="00B2516F" w14:paraId="424F89A8" w14:textId="77777777" w:rsidTr="00F771B6">
        <w:tc>
          <w:tcPr>
            <w:tcW w:w="4275" w:type="dxa"/>
          </w:tcPr>
          <w:p w14:paraId="6E160079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3633C96" w14:textId="103C5D1C" w:rsidR="00375B7B" w:rsidRPr="00B2516F" w:rsidRDefault="00375B7B" w:rsidP="00F771B6">
            <w:pPr>
              <w:pStyle w:val="afff0"/>
              <w:shd w:val="clear" w:color="auto" w:fill="FFFFFF"/>
              <w:spacing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proofErr w:type="gramStart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В соответствии со статьей 37  Федерального </w:t>
            </w:r>
            <w:r w:rsidRPr="00B2516F">
              <w:rPr>
                <w:rStyle w:val="afff3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>закон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а "О контрактной системе в сфере закупок товаров, работ, услуг для обеспечения </w:t>
            </w:r>
            <w:r w:rsidRPr="00B2516F">
              <w:rPr>
                <w:rStyle w:val="afff3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hd w:val="clear" w:color="auto" w:fill="FFFFFF"/>
              </w:rPr>
              <w:t>государственных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и муниципальных нужд" от 05.04.2013 N 44-ФЗ (далее - Закон о </w:t>
            </w: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госзакупках</w:t>
            </w:r>
            <w:proofErr w:type="spellEnd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) предусмотрена система антидемпинговых мер, которые в теории 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должны предупрежда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ть занижение цен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предл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ожений способом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предложения участниками закупо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  цен менее 75% от той, которую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считает справедливой </w:t>
            </w:r>
            <w:r w:rsidR="009F7A2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заказчик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.</w:t>
            </w:r>
            <w:proofErr w:type="gramEnd"/>
          </w:p>
          <w:p w14:paraId="4E7EB841" w14:textId="1C12547B" w:rsidR="002B1544" w:rsidRPr="00B2516F" w:rsidRDefault="002B1544" w:rsidP="00F771B6">
            <w:pPr>
              <w:pStyle w:val="afff0"/>
              <w:shd w:val="clear" w:color="auto" w:fill="FFFFFF"/>
              <w:spacing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Вероятно, это работает при </w:t>
            </w: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госзакупках</w:t>
            </w:r>
            <w:proofErr w:type="spellEnd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стандартизированных товаров, потому что на них есть очевидная рыночная цена. Если предложить на конкурсе поставку, например, определенного типа персональных офис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ных компьютеров по цене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60% </w:t>
            </w:r>
            <w:proofErr w:type="gramStart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от</w:t>
            </w:r>
            <w:proofErr w:type="gramEnd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gramStart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сложившейся</w:t>
            </w:r>
            <w:proofErr w:type="gramEnd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на рынке, 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то это сразу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будет предметом внимания правоохранительных органов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. Автор такого предложения справедливо будет обвинен в покушении на мошенничество или 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же 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  контрабанде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.</w:t>
            </w:r>
          </w:p>
          <w:p w14:paraId="4561740C" w14:textId="31E6E309" w:rsidR="00237985" w:rsidRPr="00B2516F" w:rsidRDefault="002B1544" w:rsidP="00F771B6">
            <w:pPr>
              <w:pStyle w:val="afff0"/>
              <w:shd w:val="clear" w:color="auto" w:fill="FFFFFF"/>
              <w:spacing w:after="0" w:afterAutospacing="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Однако, цены на </w:t>
            </w:r>
            <w:r w:rsidR="009F7A2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работы и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услуги 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более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субъективны,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особенно на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учно-исследовательские.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proofErr w:type="gramStart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соотв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е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т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ствии 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с Приложением 2 к </w:t>
            </w:r>
            <w:r w:rsidR="00237985" w:rsidRP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>Постановлению Правитель</w:t>
            </w:r>
            <w:r w:rsid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 xml:space="preserve">ства РФ от 31 декабря 2021 года  </w:t>
            </w:r>
            <w:r w:rsid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br/>
              <w:t>№</w:t>
            </w:r>
            <w:r w:rsidR="009F7A2F" w:rsidRP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 xml:space="preserve"> </w:t>
            </w:r>
            <w:r w:rsidR="00237985" w:rsidRP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>2604</w:t>
            </w:r>
            <w:r w:rsidR="009F7A2F" w:rsidRPr="00B2516F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B2516F" w:rsidRP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>«</w:t>
            </w:r>
            <w:r w:rsidR="00237985" w:rsidRP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 xml:space="preserve">Об оценке заявок на участие в закупке товаров, работ, услуг для обеспечения </w:t>
            </w:r>
            <w:r w:rsidR="00237985" w:rsidRP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lastRenderedPageBreak/>
              <w:t>государственных и муниципальных нужд…» при проведении закупок научно-исследовательских работ значимость ценового критерия не может составлять менее 20 %</w:t>
            </w:r>
            <w:r w:rsidR="001E3739" w:rsidRP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 xml:space="preserve">. Такая же норма была в законодательстве и ранее до </w:t>
            </w:r>
            <w:r w:rsid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 xml:space="preserve">вышеуказанного </w:t>
            </w:r>
            <w:r w:rsidR="001E3739" w:rsidRP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 xml:space="preserve">Постановления </w:t>
            </w:r>
            <w:r w:rsidR="009F7A2F" w:rsidRP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br/>
            </w:r>
            <w:r w:rsidR="001E3739" w:rsidRP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>№ 2604.</w:t>
            </w:r>
            <w:r w:rsidR="00237985" w:rsidRPr="00B2516F">
              <w:rPr>
                <w:rFonts w:ascii="Times New Roman" w:hAnsi="Times New Roman" w:cs="Times New Roman"/>
                <w:bCs/>
                <w:color w:val="0D0D0D" w:themeColor="text1" w:themeTint="F2"/>
                <w:shd w:val="clear" w:color="auto" w:fill="FFFFFF"/>
              </w:rPr>
              <w:t xml:space="preserve"> </w:t>
            </w:r>
            <w:proofErr w:type="gramEnd"/>
          </w:p>
          <w:p w14:paraId="4EAD087E" w14:textId="2C21B70C" w:rsidR="002B1544" w:rsidRPr="00B2516F" w:rsidRDefault="002B1544" w:rsidP="00F771B6">
            <w:pPr>
              <w:pStyle w:val="afff0"/>
              <w:shd w:val="clear" w:color="auto" w:fill="FFFFFF"/>
              <w:spacing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Это 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на практике, с чем сталкивалась и ВШЭ,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позволяет конторам типа «рога и копыта» </w:t>
            </w: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демпинговать</w:t>
            </w:r>
            <w:proofErr w:type="spellEnd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при </w:t>
            </w: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госзакупках</w:t>
            </w:r>
            <w:proofErr w:type="spellEnd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, перебивая заявки надежных 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профессиональных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аналитических центров, таких как ВШЭ. Предыдущий опыт выполнения аналогичных контракто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в оценивается заказчиками нередко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субъективно.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Поэтому в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озможно получать</w:t>
            </w:r>
            <w:r w:rsidR="009F7A2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на крупных тендерах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,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даже имея неб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ольшой опыт выполнения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мел</w:t>
            </w:r>
            <w:r w:rsidR="009F7A2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ких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контрактов,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максимальные оценки за опыт,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банковские антидемпинговые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га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ра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нтии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, </w:t>
            </w:r>
            <w:r w:rsidR="009F7A2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а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затем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безнаказанно </w:t>
            </w: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демпинг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оват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ь</w:t>
            </w:r>
            <w:proofErr w:type="spellEnd"/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 тендерах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, выигр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ы</w:t>
            </w:r>
            <w:r w:rsidR="00237985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ва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я их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.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</w:p>
          <w:p w14:paraId="5D1D2634" w14:textId="74CB9361" w:rsidR="00E72F9B" w:rsidRPr="00B2516F" w:rsidRDefault="00237985" w:rsidP="00237985">
            <w:pPr>
              <w:pStyle w:val="afff0"/>
              <w:shd w:val="clear" w:color="auto" w:fill="FFFFFF"/>
              <w:spacing w:after="0" w:afterAutospacing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Это </w:t>
            </w:r>
            <w:proofErr w:type="gramStart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может</w:t>
            </w:r>
            <w:proofErr w:type="gramEnd"/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как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приводит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ь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 некачест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енным поставкам</w:t>
            </w:r>
            <w:r w:rsid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научно-исследовательских работ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, так 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и нар</w:t>
            </w:r>
            <w:r w:rsidR="009F7A2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ушать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законные интересы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надежных профессиональных аналитичес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и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х центров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,</w:t>
            </w:r>
            <w:r w:rsidR="002B1544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таких как ВШЭ.   </w:t>
            </w:r>
          </w:p>
        </w:tc>
      </w:tr>
      <w:tr w:rsidR="009F7A2F" w:rsidRPr="00B2516F" w14:paraId="4DCB3937" w14:textId="77777777" w:rsidTr="00F771B6">
        <w:tc>
          <w:tcPr>
            <w:tcW w:w="4275" w:type="dxa"/>
          </w:tcPr>
          <w:p w14:paraId="0060DA09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Цель и задачи проекта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BA860BE" w14:textId="3425A554" w:rsidR="00E72F9B" w:rsidRPr="00B2516F" w:rsidRDefault="00E72F9B" w:rsidP="00F771B6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- проанализировать 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правоприменительную практику (судебную, административную), научные источники, информацию в СМИ, относящуюся к </w:t>
            </w:r>
            <w:proofErr w:type="spellStart"/>
            <w:r w:rsidR="001E3739" w:rsidRPr="00B2516F">
              <w:rPr>
                <w:rFonts w:ascii="Times New Roman" w:hAnsi="Times New Roman" w:cs="Times New Roman"/>
                <w:color w:val="0D0D0D" w:themeColor="text1" w:themeTint="F2"/>
              </w:rPr>
              <w:t>госзакупкам</w:t>
            </w:r>
            <w:proofErr w:type="spellEnd"/>
            <w:r w:rsidR="001E3739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научно-исследовательских работ,</w:t>
            </w:r>
          </w:p>
          <w:p w14:paraId="560F5EFA" w14:textId="1C52A19D" w:rsidR="001E3739" w:rsidRPr="00B2516F" w:rsidRDefault="00E72F9B" w:rsidP="00F771B6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- 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подтвердить или опровергнуть гипотезу о том, что существующие правила </w:t>
            </w:r>
            <w:proofErr w:type="spellStart"/>
            <w:r w:rsidR="001E3739" w:rsidRPr="00B2516F">
              <w:rPr>
                <w:rFonts w:ascii="Times New Roman" w:hAnsi="Times New Roman" w:cs="Times New Roman"/>
                <w:color w:val="0D0D0D" w:themeColor="text1" w:themeTint="F2"/>
              </w:rPr>
              <w:t>госзакупок</w:t>
            </w:r>
            <w:proofErr w:type="spellEnd"/>
            <w:r w:rsidR="001E3739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научно-исследовательских работ приводят к </w:t>
            </w:r>
            <w:r w:rsidR="001E3739" w:rsidRPr="00B2516F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некачественным поставкам и нарушают права надежных профессиональных аналитических центров,</w:t>
            </w:r>
          </w:p>
          <w:p w14:paraId="3F9B8F0A" w14:textId="3B83BD38" w:rsidR="00E72F9B" w:rsidRPr="00B2516F" w:rsidRDefault="00E72F9B" w:rsidP="001E373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- предложить поправки в законодательство, касающиеся </w:t>
            </w:r>
            <w:proofErr w:type="spellStart"/>
            <w:r w:rsidR="001E3739" w:rsidRPr="00B2516F">
              <w:rPr>
                <w:rFonts w:ascii="Times New Roman" w:hAnsi="Times New Roman" w:cs="Times New Roman"/>
                <w:color w:val="0D0D0D" w:themeColor="text1" w:themeTint="F2"/>
              </w:rPr>
              <w:t>госзакупок</w:t>
            </w:r>
            <w:proofErr w:type="spellEnd"/>
            <w:r w:rsidR="001E3739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научно-исследовательских работ </w:t>
            </w:r>
          </w:p>
        </w:tc>
      </w:tr>
      <w:tr w:rsidR="009F7A2F" w:rsidRPr="00B2516F" w14:paraId="1302BDDB" w14:textId="77777777" w:rsidTr="00F771B6">
        <w:tc>
          <w:tcPr>
            <w:tcW w:w="4275" w:type="dxa"/>
          </w:tcPr>
          <w:p w14:paraId="085ED0DF" w14:textId="26BB70F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87F9EFA" w14:textId="4450809C" w:rsidR="00E72F9B" w:rsidRPr="00B2516F" w:rsidRDefault="001E3739" w:rsidP="001E3739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Студенты с помощью руководителей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проекта в течение 60  дней  должны 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провести соответствующее исследование и представить 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>его результаты в формате  концепции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(в формате презентации в 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PowerPoint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и аналитической записки.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После чего  они должны защитить концепцию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и записку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ком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иссии, состоящей из руководителей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проекта и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э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>ксперта, назначенного руководством факультета права ВШЭ.</w:t>
            </w:r>
          </w:p>
        </w:tc>
      </w:tr>
      <w:tr w:rsidR="009F7A2F" w:rsidRPr="00B2516F" w14:paraId="1980AC60" w14:textId="77777777" w:rsidTr="00F771B6">
        <w:tc>
          <w:tcPr>
            <w:tcW w:w="4275" w:type="dxa"/>
          </w:tcPr>
          <w:p w14:paraId="6B3A36A6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34F7212" w14:textId="6760DEDE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Концепция в 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PowerPoint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>, аналитическая записка</w:t>
            </w:r>
          </w:p>
          <w:p w14:paraId="09D7E872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3AFD10F7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9F7A2F" w:rsidRPr="00B2516F" w14:paraId="0FDBAC49" w14:textId="77777777" w:rsidTr="00F771B6">
        <w:trPr>
          <w:trHeight w:val="460"/>
        </w:trPr>
        <w:tc>
          <w:tcPr>
            <w:tcW w:w="4275" w:type="dxa"/>
          </w:tcPr>
          <w:p w14:paraId="78618DC7" w14:textId="77777777" w:rsidR="00E72F9B" w:rsidRPr="00B2516F" w:rsidRDefault="00E72F9B" w:rsidP="00F771B6">
            <w:pPr>
              <w:pStyle w:val="Default"/>
              <w:ind w:right="567"/>
              <w:rPr>
                <w:rFonts w:ascii="Times New Roman" w:eastAsia="Arial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eastAsia="Arial" w:hAnsi="Times New Roman" w:cs="Times New Roman"/>
                <w:color w:val="0D0D0D" w:themeColor="text1" w:themeTint="F2"/>
              </w:rPr>
              <w:t>Дата начала проекта</w:t>
            </w:r>
          </w:p>
        </w:tc>
        <w:tc>
          <w:tcPr>
            <w:tcW w:w="5070" w:type="dxa"/>
          </w:tcPr>
          <w:p w14:paraId="51890041" w14:textId="4C041075" w:rsidR="00E72F9B" w:rsidRPr="00B2516F" w:rsidRDefault="0077568A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>0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0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2023</w:t>
            </w:r>
          </w:p>
        </w:tc>
      </w:tr>
      <w:tr w:rsidR="009F7A2F" w:rsidRPr="00B2516F" w14:paraId="0D44E950" w14:textId="77777777" w:rsidTr="00F771B6">
        <w:trPr>
          <w:trHeight w:val="460"/>
        </w:trPr>
        <w:tc>
          <w:tcPr>
            <w:tcW w:w="4275" w:type="dxa"/>
          </w:tcPr>
          <w:p w14:paraId="796D2ADB" w14:textId="77777777" w:rsidR="00E72F9B" w:rsidRPr="00B2516F" w:rsidRDefault="00E72F9B" w:rsidP="00F771B6">
            <w:pPr>
              <w:pStyle w:val="Default"/>
              <w:ind w:right="567"/>
              <w:rPr>
                <w:rFonts w:ascii="Times New Roman" w:eastAsia="Arial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eastAsia="Arial" w:hAnsi="Times New Roman" w:cs="Times New Roman"/>
                <w:color w:val="0D0D0D" w:themeColor="text1" w:themeTint="F2"/>
              </w:rPr>
              <w:t>Дата окончания проекта</w:t>
            </w:r>
          </w:p>
        </w:tc>
        <w:tc>
          <w:tcPr>
            <w:tcW w:w="5070" w:type="dxa"/>
          </w:tcPr>
          <w:p w14:paraId="6C12188E" w14:textId="64CA6DEA" w:rsidR="00E72F9B" w:rsidRPr="00B2516F" w:rsidRDefault="009A38A0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0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2023</w:t>
            </w:r>
          </w:p>
        </w:tc>
      </w:tr>
      <w:tr w:rsidR="009F7A2F" w:rsidRPr="00B2516F" w14:paraId="5CB2779B" w14:textId="77777777" w:rsidTr="00F771B6">
        <w:trPr>
          <w:trHeight w:val="460"/>
        </w:trPr>
        <w:tc>
          <w:tcPr>
            <w:tcW w:w="4275" w:type="dxa"/>
          </w:tcPr>
          <w:p w14:paraId="27B760EE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410E4D26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</w:tr>
      <w:tr w:rsidR="009F7A2F" w:rsidRPr="00B2516F" w14:paraId="6F6B378A" w14:textId="77777777" w:rsidTr="00F771B6">
        <w:trPr>
          <w:trHeight w:val="460"/>
        </w:trPr>
        <w:tc>
          <w:tcPr>
            <w:tcW w:w="4275" w:type="dxa"/>
          </w:tcPr>
          <w:p w14:paraId="45A3561E" w14:textId="77777777" w:rsidR="00E72F9B" w:rsidRPr="00B2516F" w:rsidRDefault="00E72F9B" w:rsidP="00F771B6">
            <w:pPr>
              <w:pStyle w:val="Default"/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eastAsia="Arial" w:hAnsi="Times New Roman" w:cs="Times New Roman"/>
                <w:color w:val="0D0D0D" w:themeColor="text1" w:themeTint="F2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62B8A73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</w:tr>
      <w:tr w:rsidR="009F7A2F" w:rsidRPr="00B2516F" w14:paraId="72FF8C37" w14:textId="77777777" w:rsidTr="00F771B6">
        <w:trPr>
          <w:trHeight w:val="140"/>
        </w:trPr>
        <w:tc>
          <w:tcPr>
            <w:tcW w:w="4275" w:type="dxa"/>
          </w:tcPr>
          <w:p w14:paraId="7F3E9A32" w14:textId="77777777" w:rsidR="00E72F9B" w:rsidRPr="00B2516F" w:rsidRDefault="00E72F9B" w:rsidP="00F771B6">
            <w:pPr>
              <w:pStyle w:val="Default"/>
              <w:ind w:right="567"/>
              <w:rPr>
                <w:rFonts w:ascii="Times New Roman" w:eastAsia="Arial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eastAsia="Arial" w:hAnsi="Times New Roman" w:cs="Times New Roman"/>
                <w:color w:val="0D0D0D" w:themeColor="text1" w:themeTint="F2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5506F177" w14:textId="018C1AAF" w:rsidR="00E72F9B" w:rsidRPr="00B2516F" w:rsidRDefault="00E72F9B" w:rsidP="00F771B6">
            <w:pPr>
              <w:pStyle w:val="Default"/>
              <w:ind w:right="567"/>
              <w:rPr>
                <w:rFonts w:ascii="Times New Roman" w:eastAsia="Arial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eastAsia="Arial" w:hAnsi="Times New Roman" w:cs="Times New Roman"/>
                <w:color w:val="0D0D0D" w:themeColor="text1" w:themeTint="F2"/>
              </w:rPr>
              <w:t>Кредиты на 1 участника р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ассчитываются по формуле: продолжительность в неделях * трудоемкость проекта в часах / 25</w:t>
            </w:r>
          </w:p>
        </w:tc>
        <w:tc>
          <w:tcPr>
            <w:tcW w:w="5070" w:type="dxa"/>
          </w:tcPr>
          <w:p w14:paraId="066A5519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характер работ для всех участников совпадает</w:t>
            </w:r>
          </w:p>
          <w:p w14:paraId="384F6504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Вакансия №1:</w:t>
            </w:r>
          </w:p>
          <w:p w14:paraId="58E3287D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Задачи: все указанные выше общие задачи проекта</w:t>
            </w:r>
          </w:p>
          <w:p w14:paraId="1D951BAE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Количество кредитов: 4 </w:t>
            </w:r>
          </w:p>
          <w:p w14:paraId="7C5394A2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Критерии отбора на вакансию:</w:t>
            </w:r>
          </w:p>
          <w:p w14:paraId="2D7A146C" w14:textId="28A91204" w:rsidR="00E72F9B" w:rsidRPr="00B2516F" w:rsidRDefault="00B2516F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р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>езюме;</w:t>
            </w:r>
          </w:p>
          <w:p w14:paraId="3F6E3998" w14:textId="61398E94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мотивационное письмо объемо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>м 800-1000 слов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;</w:t>
            </w:r>
          </w:p>
          <w:p w14:paraId="02A44534" w14:textId="6035C59C" w:rsidR="00E72F9B" w:rsidRPr="00B2516F" w:rsidRDefault="00E72F9B" w:rsidP="001E3739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устн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>ое собеседование с руководителями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проекта </w:t>
            </w:r>
          </w:p>
        </w:tc>
      </w:tr>
      <w:tr w:rsidR="009F7A2F" w:rsidRPr="00B2516F" w14:paraId="3AA877E3" w14:textId="77777777" w:rsidTr="00F771B6">
        <w:tc>
          <w:tcPr>
            <w:tcW w:w="4275" w:type="dxa"/>
          </w:tcPr>
          <w:p w14:paraId="56BB3D45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Форма итогового контроля</w:t>
            </w:r>
          </w:p>
        </w:tc>
        <w:tc>
          <w:tcPr>
            <w:tcW w:w="5070" w:type="dxa"/>
          </w:tcPr>
          <w:p w14:paraId="682A5269" w14:textId="78881033" w:rsidR="00E72F9B" w:rsidRPr="00B2516F" w:rsidRDefault="00B2516F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Экзаме</w:t>
            </w:r>
            <w:proofErr w:type="gramStart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н-</w:t>
            </w:r>
            <w:proofErr w:type="gramEnd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устная очная  з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>ащита концепции ком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иссии, состоящей из руководителей  проекта и 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эксперта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, назначенного руководством факультета права ВШЭ </w:t>
            </w:r>
          </w:p>
        </w:tc>
      </w:tr>
      <w:tr w:rsidR="009F7A2F" w:rsidRPr="00B2516F" w14:paraId="0F3FEC35" w14:textId="77777777" w:rsidTr="00F771B6">
        <w:tc>
          <w:tcPr>
            <w:tcW w:w="4275" w:type="dxa"/>
          </w:tcPr>
          <w:p w14:paraId="6C0C0EF6" w14:textId="5D193FA9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5A6E8DB" w14:textId="6E25ADF6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Концепция в формате презентации в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>PowerPoint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>аналитическая записка,  их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защита </w:t>
            </w:r>
          </w:p>
        </w:tc>
      </w:tr>
      <w:tr w:rsidR="009F7A2F" w:rsidRPr="00B2516F" w14:paraId="41089921" w14:textId="77777777" w:rsidTr="00F771B6">
        <w:tc>
          <w:tcPr>
            <w:tcW w:w="4275" w:type="dxa"/>
          </w:tcPr>
          <w:p w14:paraId="22556E25" w14:textId="77777777" w:rsidR="00E72F9B" w:rsidRPr="00B2516F" w:rsidRDefault="00E72F9B" w:rsidP="00F771B6">
            <w:pPr>
              <w:pStyle w:val="Default"/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eastAsia="Arial" w:hAnsi="Times New Roman" w:cs="Times New Roman"/>
                <w:color w:val="0D0D0D" w:themeColor="text1" w:themeTint="F2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26F4075" w14:textId="085D1EFE" w:rsidR="00E72F9B" w:rsidRPr="00B2516F" w:rsidRDefault="009A38A0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Оценка =</w:t>
            </w:r>
            <w:r w:rsidR="009F7A2F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0.33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>*концепция+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0.33*аналитическая записка+ 0.33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экзаме</w:t>
            </w:r>
            <w:proofErr w:type="gramStart"/>
            <w:r w:rsidR="00B2516F" w:rsidRPr="00B2516F">
              <w:rPr>
                <w:rFonts w:ascii="Times New Roman" w:hAnsi="Times New Roman" w:cs="Times New Roman"/>
                <w:color w:val="0D0D0D" w:themeColor="text1" w:themeTint="F2"/>
              </w:rPr>
              <w:t>н-</w:t>
            </w:r>
            <w:proofErr w:type="gramEnd"/>
            <w:r w:rsidR="00B2516F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>устная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очная </w:t>
            </w:r>
            <w:r w:rsidR="00E72F9B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защита концепции, включая  ответы на вопросы комиссии</w:t>
            </w:r>
          </w:p>
        </w:tc>
      </w:tr>
      <w:tr w:rsidR="009F7A2F" w:rsidRPr="00B2516F" w14:paraId="330A9E62" w14:textId="77777777" w:rsidTr="00F771B6">
        <w:tc>
          <w:tcPr>
            <w:tcW w:w="4275" w:type="dxa"/>
          </w:tcPr>
          <w:p w14:paraId="01E74B8D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214A1B6B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Да </w:t>
            </w:r>
          </w:p>
        </w:tc>
      </w:tr>
      <w:tr w:rsidR="009F7A2F" w:rsidRPr="00B2516F" w14:paraId="599E37AE" w14:textId="77777777" w:rsidTr="00F771B6">
        <w:tc>
          <w:tcPr>
            <w:tcW w:w="4275" w:type="dxa"/>
          </w:tcPr>
          <w:p w14:paraId="396ADD29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53B33347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Навыки и компетенции, приобретаемые или развиваемые в проекте:</w:t>
            </w:r>
          </w:p>
          <w:p w14:paraId="1CC30C47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понимание взаимоотношений и взаимодействий между актами публичного и частного права, </w:t>
            </w: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регулирующими одни те же правоотношения;</w:t>
            </w:r>
          </w:p>
          <w:p w14:paraId="01BABF56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междисциплинарный анализ научных источников (юридических, экономических, социологических, психологических); </w:t>
            </w:r>
          </w:p>
          <w:p w14:paraId="744AFAEA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оценка информации СМИ;</w:t>
            </w:r>
          </w:p>
          <w:p w14:paraId="4BBE2BAC" w14:textId="33A4076B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развитие координации работы в команде</w:t>
            </w:r>
          </w:p>
        </w:tc>
      </w:tr>
      <w:tr w:rsidR="009F7A2F" w:rsidRPr="00B2516F" w14:paraId="7CBE5B89" w14:textId="77777777" w:rsidTr="00F771B6">
        <w:tc>
          <w:tcPr>
            <w:tcW w:w="4275" w:type="dxa"/>
          </w:tcPr>
          <w:p w14:paraId="25CAF204" w14:textId="77777777" w:rsidR="00E72F9B" w:rsidRPr="00B2516F" w:rsidRDefault="00E72F9B" w:rsidP="00F771B6">
            <w:pPr>
              <w:pStyle w:val="Default"/>
              <w:ind w:right="567"/>
              <w:rPr>
                <w:rFonts w:ascii="Times New Roman" w:eastAsia="Arial" w:hAnsi="Times New Roman" w:cs="Times New Roman"/>
                <w:color w:val="0D0D0D" w:themeColor="text1" w:themeTint="F2"/>
                <w:lang w:val="ru"/>
              </w:rPr>
            </w:pPr>
            <w:r w:rsidRPr="00B2516F">
              <w:rPr>
                <w:rFonts w:ascii="Times New Roman" w:eastAsia="Arial" w:hAnsi="Times New Roman" w:cs="Times New Roman"/>
                <w:color w:val="0D0D0D" w:themeColor="text1" w:themeTint="F2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5B35B31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Реализуется по адресу факультета права НИУ ВШЭ (</w:t>
            </w: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г</w:t>
            </w:r>
            <w:proofErr w:type="gramStart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.М</w:t>
            </w:r>
            <w:proofErr w:type="gramEnd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осква</w:t>
            </w:r>
            <w:proofErr w:type="spellEnd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, Большой </w:t>
            </w:r>
            <w:proofErr w:type="spellStart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Трехсвятительский</w:t>
            </w:r>
            <w:proofErr w:type="spellEnd"/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переулок, 3)  с использованием информационных баз данных, на которые подписана ВШЭ  </w:t>
            </w:r>
          </w:p>
        </w:tc>
      </w:tr>
      <w:tr w:rsidR="009F7A2F" w:rsidRPr="00B2516F" w14:paraId="5C24CB3F" w14:textId="77777777" w:rsidTr="00F771B6">
        <w:tc>
          <w:tcPr>
            <w:tcW w:w="4275" w:type="dxa"/>
          </w:tcPr>
          <w:p w14:paraId="2DCA96F9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00EA034" w14:textId="4DEFF1DB" w:rsidR="00E72F9B" w:rsidRPr="00B2516F" w:rsidRDefault="00E72F9B" w:rsidP="009A38A0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Для студентов 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>магистерски</w:t>
            </w:r>
            <w:r w:rsidR="00B2516F" w:rsidRPr="00B2516F">
              <w:rPr>
                <w:rFonts w:ascii="Times New Roman" w:hAnsi="Times New Roman" w:cs="Times New Roman"/>
                <w:color w:val="0D0D0D" w:themeColor="text1" w:themeTint="F2"/>
              </w:rPr>
              <w:t>х программ факультета права ВШЭ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: </w:t>
            </w:r>
            <w:r w:rsidR="009F7A2F" w:rsidRPr="00B2516F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убличное право и публичные финансы, </w:t>
            </w:r>
            <w:proofErr w:type="spellStart"/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>комплаенс</w:t>
            </w:r>
            <w:proofErr w:type="spellEnd"/>
            <w:r w:rsidR="009A38A0"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 и профилактика правовых рисков, корпоративное и международное частное право, цифровое право</w:t>
            </w:r>
          </w:p>
        </w:tc>
      </w:tr>
      <w:tr w:rsidR="009F7A2F" w:rsidRPr="00B2516F" w14:paraId="65A76CE4" w14:textId="77777777" w:rsidTr="00F771B6">
        <w:tc>
          <w:tcPr>
            <w:tcW w:w="4275" w:type="dxa"/>
          </w:tcPr>
          <w:p w14:paraId="0A96205C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Требуется резюме студента</w:t>
            </w:r>
          </w:p>
        </w:tc>
        <w:tc>
          <w:tcPr>
            <w:tcW w:w="5070" w:type="dxa"/>
          </w:tcPr>
          <w:p w14:paraId="3C640F30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Да</w:t>
            </w:r>
          </w:p>
        </w:tc>
      </w:tr>
      <w:tr w:rsidR="009F7A2F" w:rsidRPr="00B2516F" w14:paraId="18767BF3" w14:textId="77777777" w:rsidTr="00F771B6">
        <w:tc>
          <w:tcPr>
            <w:tcW w:w="4275" w:type="dxa"/>
          </w:tcPr>
          <w:p w14:paraId="63095977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78BA26FC" w14:textId="77777777" w:rsidR="00E72F9B" w:rsidRPr="00B2516F" w:rsidRDefault="00E72F9B" w:rsidP="00F771B6">
            <w:pPr>
              <w:ind w:right="56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   <w:color w:val="0D0D0D" w:themeColor="text1" w:themeTint="F2"/>
              </w:rPr>
              <w:t xml:space="preserve">Да </w:t>
            </w:r>
          </w:p>
        </w:tc>
      </w:tr>
    </w:tbl>
    <w:p w14:paraId="53DCE958" w14:textId="77777777" w:rsidR="00E72F9B" w:rsidRPr="00B2516F" w:rsidRDefault="00E72F9B" w:rsidP="00765989">
      <w:pPr>
        <w:tabs>
          <w:tab w:val="left" w:pos="709"/>
        </w:tabs>
        <w:ind w:right="567"/>
        <w:rPr>
          <w:color w:val="0D0D0D" w:themeColor="text1" w:themeTint="F2"/>
          <w:sz w:val="24"/>
          <w:szCs w:val="24"/>
        </w:rPr>
      </w:pPr>
    </w:p>
    <w:p w14:paraId="4267716B" w14:textId="77777777" w:rsidR="00507B7C" w:rsidRPr="00B2516F" w:rsidRDefault="00507B7C" w:rsidP="00765989">
      <w:pPr>
        <w:tabs>
          <w:tab w:val="left" w:pos="709"/>
        </w:tabs>
        <w:ind w:right="567"/>
        <w:rPr>
          <w:color w:val="0D0D0D" w:themeColor="text1" w:themeTint="F2"/>
          <w:sz w:val="24"/>
          <w:szCs w:val="24"/>
        </w:rPr>
      </w:pPr>
    </w:p>
    <w:sectPr w:rsidR="00507B7C" w:rsidRPr="00B2516F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6C78" w14:textId="77777777" w:rsidR="00D42CAA" w:rsidRDefault="00D42CAA">
      <w:r>
        <w:separator/>
      </w:r>
    </w:p>
  </w:endnote>
  <w:endnote w:type="continuationSeparator" w:id="0">
    <w:p w14:paraId="1C5B4AD8" w14:textId="77777777" w:rsidR="00D42CAA" w:rsidRDefault="00D4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D5706" w14:textId="77777777" w:rsidR="006C276C" w:rsidRDefault="00C91F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B02453" w14:textId="77777777" w:rsidR="006C276C" w:rsidRDefault="006C27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FC09D" w14:textId="5D14D267" w:rsidR="006C276C" w:rsidRDefault="00C91F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5ECF">
      <w:rPr>
        <w:noProof/>
        <w:color w:val="000000"/>
      </w:rPr>
      <w:t>2</w:t>
    </w:r>
    <w:r>
      <w:rPr>
        <w:color w:val="000000"/>
      </w:rPr>
      <w:fldChar w:fldCharType="end"/>
    </w:r>
  </w:p>
  <w:p w14:paraId="513D36AD" w14:textId="77777777" w:rsidR="006C276C" w:rsidRDefault="006C27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</w:rPr>
    </w:pPr>
  </w:p>
  <w:p w14:paraId="34677D6A" w14:textId="77777777" w:rsidR="006C276C" w:rsidRDefault="006C27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5877F" w14:textId="77777777" w:rsidR="00D42CAA" w:rsidRDefault="00D42CAA">
      <w:r>
        <w:separator/>
      </w:r>
    </w:p>
  </w:footnote>
  <w:footnote w:type="continuationSeparator" w:id="0">
    <w:p w14:paraId="3C3BEEB6" w14:textId="77777777" w:rsidR="00D42CAA" w:rsidRDefault="00D4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E01A" w14:textId="77777777" w:rsidR="006C276C" w:rsidRDefault="006C27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661"/>
    <w:multiLevelType w:val="multilevel"/>
    <w:tmpl w:val="7E74B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9FA6104"/>
    <w:multiLevelType w:val="multilevel"/>
    <w:tmpl w:val="63227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AB2A2A"/>
    <w:multiLevelType w:val="multilevel"/>
    <w:tmpl w:val="75F23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963230A"/>
    <w:multiLevelType w:val="multilevel"/>
    <w:tmpl w:val="F12008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2572EFD"/>
    <w:multiLevelType w:val="multilevel"/>
    <w:tmpl w:val="AB5445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59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304" w:hanging="2160"/>
      </w:pPr>
      <w:rPr>
        <w:vertAlign w:val="baseline"/>
      </w:rPr>
    </w:lvl>
  </w:abstractNum>
  <w:abstractNum w:abstractNumId="5">
    <w:nsid w:val="25376428"/>
    <w:multiLevelType w:val="multilevel"/>
    <w:tmpl w:val="24F2A0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76C018F"/>
    <w:multiLevelType w:val="multilevel"/>
    <w:tmpl w:val="D7BE3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934771A"/>
    <w:multiLevelType w:val="multilevel"/>
    <w:tmpl w:val="D31EC248"/>
    <w:lvl w:ilvl="0">
      <w:start w:val="1"/>
      <w:numFmt w:val="decimal"/>
      <w:lvlText w:val="%1)"/>
      <w:lvlJc w:val="left"/>
      <w:pPr>
        <w:ind w:left="2475" w:hanging="1035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8">
    <w:nsid w:val="2B5D3BFD"/>
    <w:multiLevelType w:val="multilevel"/>
    <w:tmpl w:val="20F4A0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4B720B"/>
    <w:multiLevelType w:val="multilevel"/>
    <w:tmpl w:val="D1FA16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D2D4E3C"/>
    <w:multiLevelType w:val="multilevel"/>
    <w:tmpl w:val="2CA4E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DFA01B2"/>
    <w:multiLevelType w:val="multilevel"/>
    <w:tmpl w:val="52784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3AFD4EBE"/>
    <w:multiLevelType w:val="multilevel"/>
    <w:tmpl w:val="418C02C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C891400"/>
    <w:multiLevelType w:val="multilevel"/>
    <w:tmpl w:val="EFC84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D79080A"/>
    <w:multiLevelType w:val="multilevel"/>
    <w:tmpl w:val="3A926F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0F94C2B"/>
    <w:multiLevelType w:val="multilevel"/>
    <w:tmpl w:val="88CA0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423F2E7A"/>
    <w:multiLevelType w:val="multilevel"/>
    <w:tmpl w:val="5AC24D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3E209E7"/>
    <w:multiLevelType w:val="multilevel"/>
    <w:tmpl w:val="26B8ACD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44665006"/>
    <w:multiLevelType w:val="multilevel"/>
    <w:tmpl w:val="FE4418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6852861"/>
    <w:multiLevelType w:val="multilevel"/>
    <w:tmpl w:val="769E2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E7072AE"/>
    <w:multiLevelType w:val="multilevel"/>
    <w:tmpl w:val="9C5C1CEE"/>
    <w:lvl w:ilvl="0">
      <w:start w:val="1"/>
      <w:numFmt w:val="decimal"/>
      <w:lvlText w:val="%1."/>
      <w:lvlJc w:val="left"/>
      <w:pPr>
        <w:ind w:left="8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2" w:hanging="180"/>
      </w:pPr>
      <w:rPr>
        <w:vertAlign w:val="baseline"/>
      </w:rPr>
    </w:lvl>
  </w:abstractNum>
  <w:abstractNum w:abstractNumId="21">
    <w:nsid w:val="56E71816"/>
    <w:multiLevelType w:val="multilevel"/>
    <w:tmpl w:val="9090556C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>
    <w:nsid w:val="5FB90666"/>
    <w:multiLevelType w:val="multilevel"/>
    <w:tmpl w:val="51442D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54717AC"/>
    <w:multiLevelType w:val="multilevel"/>
    <w:tmpl w:val="9462E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65594839"/>
    <w:multiLevelType w:val="multilevel"/>
    <w:tmpl w:val="026AE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11416"/>
    <w:multiLevelType w:val="multilevel"/>
    <w:tmpl w:val="675473E0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>
    <w:nsid w:val="6A145D61"/>
    <w:multiLevelType w:val="multilevel"/>
    <w:tmpl w:val="4C083F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EE23496"/>
    <w:multiLevelType w:val="multilevel"/>
    <w:tmpl w:val="4F3C0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F747D6E"/>
    <w:multiLevelType w:val="multilevel"/>
    <w:tmpl w:val="6CEE88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08614FB"/>
    <w:multiLevelType w:val="multilevel"/>
    <w:tmpl w:val="2280D3A0"/>
    <w:lvl w:ilvl="0">
      <w:start w:val="1"/>
      <w:numFmt w:val="decimal"/>
      <w:lvlText w:val="%1)"/>
      <w:lvlJc w:val="left"/>
      <w:pPr>
        <w:ind w:left="72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7162102B"/>
    <w:multiLevelType w:val="multilevel"/>
    <w:tmpl w:val="F4A8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74C05"/>
    <w:multiLevelType w:val="multilevel"/>
    <w:tmpl w:val="3EE066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72F857F6"/>
    <w:multiLevelType w:val="multilevel"/>
    <w:tmpl w:val="613C9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75271FD8"/>
    <w:multiLevelType w:val="multilevel"/>
    <w:tmpl w:val="91423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76660531"/>
    <w:multiLevelType w:val="multilevel"/>
    <w:tmpl w:val="A580BB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76876B56"/>
    <w:multiLevelType w:val="multilevel"/>
    <w:tmpl w:val="2674A2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7B1B1258"/>
    <w:multiLevelType w:val="multilevel"/>
    <w:tmpl w:val="C47C3EF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3"/>
  </w:num>
  <w:num w:numId="5">
    <w:abstractNumId w:val="35"/>
  </w:num>
  <w:num w:numId="6">
    <w:abstractNumId w:val="11"/>
  </w:num>
  <w:num w:numId="7">
    <w:abstractNumId w:val="26"/>
  </w:num>
  <w:num w:numId="8">
    <w:abstractNumId w:val="32"/>
  </w:num>
  <w:num w:numId="9">
    <w:abstractNumId w:val="7"/>
  </w:num>
  <w:num w:numId="10">
    <w:abstractNumId w:val="16"/>
  </w:num>
  <w:num w:numId="11">
    <w:abstractNumId w:val="21"/>
  </w:num>
  <w:num w:numId="12">
    <w:abstractNumId w:val="31"/>
  </w:num>
  <w:num w:numId="13">
    <w:abstractNumId w:val="22"/>
  </w:num>
  <w:num w:numId="14">
    <w:abstractNumId w:val="25"/>
  </w:num>
  <w:num w:numId="15">
    <w:abstractNumId w:val="8"/>
  </w:num>
  <w:num w:numId="16">
    <w:abstractNumId w:val="6"/>
  </w:num>
  <w:num w:numId="17">
    <w:abstractNumId w:val="10"/>
  </w:num>
  <w:num w:numId="18">
    <w:abstractNumId w:val="9"/>
  </w:num>
  <w:num w:numId="19">
    <w:abstractNumId w:val="17"/>
  </w:num>
  <w:num w:numId="20">
    <w:abstractNumId w:val="29"/>
  </w:num>
  <w:num w:numId="21">
    <w:abstractNumId w:val="0"/>
  </w:num>
  <w:num w:numId="22">
    <w:abstractNumId w:val="3"/>
  </w:num>
  <w:num w:numId="23">
    <w:abstractNumId w:val="5"/>
  </w:num>
  <w:num w:numId="24">
    <w:abstractNumId w:val="28"/>
  </w:num>
  <w:num w:numId="25">
    <w:abstractNumId w:val="19"/>
  </w:num>
  <w:num w:numId="26">
    <w:abstractNumId w:val="23"/>
  </w:num>
  <w:num w:numId="27">
    <w:abstractNumId w:val="15"/>
  </w:num>
  <w:num w:numId="28">
    <w:abstractNumId w:val="13"/>
  </w:num>
  <w:num w:numId="29">
    <w:abstractNumId w:val="36"/>
  </w:num>
  <w:num w:numId="30">
    <w:abstractNumId w:val="2"/>
  </w:num>
  <w:num w:numId="31">
    <w:abstractNumId w:val="14"/>
  </w:num>
  <w:num w:numId="32">
    <w:abstractNumId w:val="34"/>
  </w:num>
  <w:num w:numId="33">
    <w:abstractNumId w:val="24"/>
  </w:num>
  <w:num w:numId="34">
    <w:abstractNumId w:val="27"/>
  </w:num>
  <w:num w:numId="35">
    <w:abstractNumId w:val="20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6C"/>
    <w:rsid w:val="00015038"/>
    <w:rsid w:val="00015EBA"/>
    <w:rsid w:val="00047201"/>
    <w:rsid w:val="000A343C"/>
    <w:rsid w:val="000E0265"/>
    <w:rsid w:val="00165D3C"/>
    <w:rsid w:val="00183967"/>
    <w:rsid w:val="001E3739"/>
    <w:rsid w:val="00237985"/>
    <w:rsid w:val="002B1544"/>
    <w:rsid w:val="00346332"/>
    <w:rsid w:val="00375B7B"/>
    <w:rsid w:val="004200DC"/>
    <w:rsid w:val="0046202F"/>
    <w:rsid w:val="00507B7C"/>
    <w:rsid w:val="005361FE"/>
    <w:rsid w:val="005526CB"/>
    <w:rsid w:val="0059350A"/>
    <w:rsid w:val="00655AA7"/>
    <w:rsid w:val="006C276C"/>
    <w:rsid w:val="006E01EB"/>
    <w:rsid w:val="00765989"/>
    <w:rsid w:val="0077568A"/>
    <w:rsid w:val="007811D2"/>
    <w:rsid w:val="007C57F6"/>
    <w:rsid w:val="007D5ECF"/>
    <w:rsid w:val="009326F6"/>
    <w:rsid w:val="009A38A0"/>
    <w:rsid w:val="009B5D85"/>
    <w:rsid w:val="009F7A2F"/>
    <w:rsid w:val="00A52122"/>
    <w:rsid w:val="00A5392B"/>
    <w:rsid w:val="00AE5B82"/>
    <w:rsid w:val="00B2516F"/>
    <w:rsid w:val="00B90FC2"/>
    <w:rsid w:val="00B96C7D"/>
    <w:rsid w:val="00C21CC1"/>
    <w:rsid w:val="00C70137"/>
    <w:rsid w:val="00C91F91"/>
    <w:rsid w:val="00CB0427"/>
    <w:rsid w:val="00CE3B73"/>
    <w:rsid w:val="00D26041"/>
    <w:rsid w:val="00D42CAA"/>
    <w:rsid w:val="00D5320D"/>
    <w:rsid w:val="00D964A1"/>
    <w:rsid w:val="00DA3FFE"/>
    <w:rsid w:val="00E15E8E"/>
    <w:rsid w:val="00E72F9B"/>
    <w:rsid w:val="00E77C2D"/>
    <w:rsid w:val="00EE200D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8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xmsonormal">
    <w:name w:val="x_msonormal"/>
    <w:basedOn w:val="a"/>
    <w:rsid w:val="00E77C2D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annotation reference"/>
    <w:basedOn w:val="a0"/>
    <w:uiPriority w:val="99"/>
    <w:semiHidden/>
    <w:unhideWhenUsed/>
    <w:rsid w:val="00AE5B8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AE5B82"/>
  </w:style>
  <w:style w:type="character" w:customStyle="1" w:styleId="affa">
    <w:name w:val="Текст примечания Знак"/>
    <w:basedOn w:val="a0"/>
    <w:link w:val="aff9"/>
    <w:uiPriority w:val="99"/>
    <w:semiHidden/>
    <w:rsid w:val="00AE5B82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E5B8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E5B82"/>
    <w:rPr>
      <w:b/>
      <w:bCs/>
    </w:rPr>
  </w:style>
  <w:style w:type="paragraph" w:styleId="affd">
    <w:name w:val="List Paragraph"/>
    <w:basedOn w:val="a"/>
    <w:uiPriority w:val="34"/>
    <w:qFormat/>
    <w:rsid w:val="00B96C7D"/>
    <w:pPr>
      <w:ind w:left="720"/>
      <w:contextualSpacing/>
    </w:pPr>
  </w:style>
  <w:style w:type="table" w:styleId="affe">
    <w:name w:val="Table Grid"/>
    <w:basedOn w:val="a1"/>
    <w:uiPriority w:val="59"/>
    <w:rsid w:val="00E72F9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F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f">
    <w:name w:val="Hyperlink"/>
    <w:basedOn w:val="a0"/>
    <w:uiPriority w:val="99"/>
    <w:unhideWhenUsed/>
    <w:rsid w:val="00E72F9B"/>
    <w:rPr>
      <w:color w:val="0000FF" w:themeColor="hyperlink"/>
      <w:u w:val="single"/>
    </w:rPr>
  </w:style>
  <w:style w:type="paragraph" w:styleId="afff0">
    <w:name w:val="Normal (Web)"/>
    <w:basedOn w:val="a"/>
    <w:uiPriority w:val="99"/>
    <w:unhideWhenUsed/>
    <w:rsid w:val="00E72F9B"/>
    <w:pPr>
      <w:spacing w:before="100" w:beforeAutospacing="1" w:after="100" w:afterAutospacing="1"/>
    </w:pPr>
    <w:rPr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E72F9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E72F9B"/>
    <w:rPr>
      <w:rFonts w:ascii="Tahoma" w:hAnsi="Tahoma" w:cs="Tahoma"/>
      <w:sz w:val="16"/>
      <w:szCs w:val="16"/>
    </w:rPr>
  </w:style>
  <w:style w:type="character" w:styleId="afff3">
    <w:name w:val="Emphasis"/>
    <w:basedOn w:val="a0"/>
    <w:uiPriority w:val="20"/>
    <w:qFormat/>
    <w:rsid w:val="00375B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customStyle="1" w:styleId="xmsonormal">
    <w:name w:val="x_msonormal"/>
    <w:basedOn w:val="a"/>
    <w:rsid w:val="00E77C2D"/>
    <w:pPr>
      <w:spacing w:before="100" w:beforeAutospacing="1" w:after="100" w:afterAutospacing="1"/>
    </w:pPr>
    <w:rPr>
      <w:sz w:val="24"/>
      <w:szCs w:val="24"/>
    </w:rPr>
  </w:style>
  <w:style w:type="character" w:styleId="aff8">
    <w:name w:val="annotation reference"/>
    <w:basedOn w:val="a0"/>
    <w:uiPriority w:val="99"/>
    <w:semiHidden/>
    <w:unhideWhenUsed/>
    <w:rsid w:val="00AE5B8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AE5B82"/>
  </w:style>
  <w:style w:type="character" w:customStyle="1" w:styleId="affa">
    <w:name w:val="Текст примечания Знак"/>
    <w:basedOn w:val="a0"/>
    <w:link w:val="aff9"/>
    <w:uiPriority w:val="99"/>
    <w:semiHidden/>
    <w:rsid w:val="00AE5B82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E5B8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E5B82"/>
    <w:rPr>
      <w:b/>
      <w:bCs/>
    </w:rPr>
  </w:style>
  <w:style w:type="paragraph" w:styleId="affd">
    <w:name w:val="List Paragraph"/>
    <w:basedOn w:val="a"/>
    <w:uiPriority w:val="34"/>
    <w:qFormat/>
    <w:rsid w:val="00B96C7D"/>
    <w:pPr>
      <w:ind w:left="720"/>
      <w:contextualSpacing/>
    </w:pPr>
  </w:style>
  <w:style w:type="table" w:styleId="affe">
    <w:name w:val="Table Grid"/>
    <w:basedOn w:val="a1"/>
    <w:uiPriority w:val="59"/>
    <w:rsid w:val="00E72F9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F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ff">
    <w:name w:val="Hyperlink"/>
    <w:basedOn w:val="a0"/>
    <w:uiPriority w:val="99"/>
    <w:unhideWhenUsed/>
    <w:rsid w:val="00E72F9B"/>
    <w:rPr>
      <w:color w:val="0000FF" w:themeColor="hyperlink"/>
      <w:u w:val="single"/>
    </w:rPr>
  </w:style>
  <w:style w:type="paragraph" w:styleId="afff0">
    <w:name w:val="Normal (Web)"/>
    <w:basedOn w:val="a"/>
    <w:uiPriority w:val="99"/>
    <w:unhideWhenUsed/>
    <w:rsid w:val="00E72F9B"/>
    <w:pPr>
      <w:spacing w:before="100" w:beforeAutospacing="1" w:after="100" w:afterAutospacing="1"/>
    </w:pPr>
    <w:rPr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E72F9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E72F9B"/>
    <w:rPr>
      <w:rFonts w:ascii="Tahoma" w:hAnsi="Tahoma" w:cs="Tahoma"/>
      <w:sz w:val="16"/>
      <w:szCs w:val="16"/>
    </w:rPr>
  </w:style>
  <w:style w:type="character" w:styleId="afff3">
    <w:name w:val="Emphasis"/>
    <w:basedOn w:val="a0"/>
    <w:uiPriority w:val="20"/>
    <w:qFormat/>
    <w:rsid w:val="0037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olodyko@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Хитяева Кристина Александровна</dc:creator>
  <cp:lastModifiedBy>kmolodyko</cp:lastModifiedBy>
  <cp:revision>2</cp:revision>
  <dcterms:created xsi:type="dcterms:W3CDTF">2023-03-23T11:23:00Z</dcterms:created>
  <dcterms:modified xsi:type="dcterms:W3CDTF">2023-03-23T11:23:00Z</dcterms:modified>
</cp:coreProperties>
</file>