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9"/>
        </w:tabs>
        <w:spacing w:line="240" w:lineRule="auto"/>
        <w:jc w:val="center"/>
        <w:rPr>
          <w:rFonts w:ascii="Times New Roman" w:cs="Times New Roman" w:hAnsi="Times New Roman" w:eastAsia="Times New Roman"/>
          <w:b w:val="1"/>
          <w:bCs w:val="1"/>
          <w:sz w:val="26"/>
          <w:szCs w:val="26"/>
          <w:lang w:val="en-US"/>
        </w:rPr>
      </w:pPr>
      <w:r>
        <w:rPr>
          <w:rFonts w:ascii="Times New Roman" w:hAnsi="Times New Roman"/>
          <w:b w:val="1"/>
          <w:bCs w:val="1"/>
          <w:sz w:val="26"/>
          <w:szCs w:val="26"/>
          <w:rtl w:val="0"/>
          <w:lang w:val="en-US"/>
        </w:rPr>
        <w:t>For practical training in a project format</w:t>
      </w:r>
    </w:p>
    <w:p>
      <w:pPr>
        <w:pStyle w:val="Normal.0"/>
        <w:tabs>
          <w:tab w:val="left" w:pos="709"/>
        </w:tabs>
        <w:spacing w:line="24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(as per the initiative of HSE University staff</w:t>
      </w:r>
      <w:r>
        <w:rPr>
          <w:rFonts w:ascii="Times New Roman" w:cs="Times New Roman" w:hAnsi="Times New Roman" w:eastAsia="Times New Roman"/>
          <w:b w:val="1"/>
          <w:bCs w:val="1"/>
          <w:sz w:val="26"/>
          <w:szCs w:val="26"/>
          <w:vertAlign w:val="superscript"/>
          <w:lang w:val="ru-RU"/>
        </w:rPr>
        <w:footnoteReference w:id="1"/>
      </w:r>
      <w:r>
        <w:rPr>
          <w:rFonts w:ascii="Times New Roman" w:hAnsi="Times New Roman"/>
          <w:b w:val="1"/>
          <w:bCs w:val="1"/>
          <w:sz w:val="26"/>
          <w:szCs w:val="26"/>
          <w:rtl w:val="0"/>
          <w:lang w:val="en-US"/>
        </w:rPr>
        <w:t>)</w:t>
      </w:r>
    </w:p>
    <w:p>
      <w:pPr>
        <w:pStyle w:val="Normal.0"/>
        <w:tabs>
          <w:tab w:val="left" w:pos="709"/>
        </w:tabs>
        <w:spacing w:line="240" w:lineRule="auto"/>
        <w:jc w:val="center"/>
        <w:rPr>
          <w:rFonts w:ascii="Times New Roman" w:cs="Times New Roman" w:hAnsi="Times New Roman" w:eastAsia="Times New Roman"/>
          <w:b w:val="1"/>
          <w:bCs w:val="1"/>
          <w:sz w:val="26"/>
          <w:szCs w:val="26"/>
          <w:lang w:val="en-US"/>
        </w:rPr>
      </w:pPr>
    </w:p>
    <w:tbl>
      <w:tblPr>
        <w:tblW w:w="93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90"/>
        <w:gridCol w:w="4555"/>
      </w:tblGrid>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Practical training element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ru-RU"/>
              </w:rPr>
              <w:t>Project</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Project type (if a project)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S</w:t>
            </w:r>
            <w:r>
              <w:rPr>
                <w:rFonts w:ascii="Times New Roman" w:hAnsi="Times New Roman"/>
                <w:i w:val="1"/>
                <w:iCs w:val="1"/>
                <w:sz w:val="28"/>
                <w:szCs w:val="28"/>
                <w:rtl w:val="0"/>
                <w:lang w:val="ru-RU"/>
              </w:rPr>
              <w:t>ervice</w:t>
            </w: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Project name</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Proctors for International Economics Olympiad</w:t>
            </w:r>
          </w:p>
        </w:tc>
      </w:tr>
      <w:tr>
        <w:tblPrEx>
          <w:shd w:val="clear" w:color="auto" w:fill="d0ddef"/>
        </w:tblPrEx>
        <w:trPr>
          <w:trHeight w:val="95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 xml:space="preserve">Subdivision - </w:t>
            </w:r>
            <w:r>
              <w:rPr>
                <w:rFonts w:ascii="Times New Roman" w:hAnsi="Times New Roman"/>
                <w:sz w:val="28"/>
                <w:szCs w:val="28"/>
                <w:rtl w:val="0"/>
                <w:lang w:val="en-US"/>
              </w:rPr>
              <w:t>p</w:t>
            </w:r>
            <w:r>
              <w:rPr>
                <w:rFonts w:ascii="Times New Roman" w:hAnsi="Times New Roman"/>
                <w:sz w:val="28"/>
                <w:szCs w:val="28"/>
                <w:rtl w:val="0"/>
                <w:lang w:val="ru-RU"/>
              </w:rPr>
              <w:t>roject initiator</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20"/>
                <w:tab w:val="left" w:pos="1440"/>
                <w:tab w:val="left" w:pos="2160"/>
                <w:tab w:val="left" w:pos="2880"/>
                <w:tab w:val="left" w:pos="3600"/>
                <w:tab w:val="left" w:pos="4320"/>
              </w:tabs>
            </w:pPr>
            <w:r>
              <w:rPr>
                <w:rFonts w:ascii="Times New Roman" w:hAnsi="Times New Roman"/>
                <w:sz w:val="28"/>
                <w:szCs w:val="28"/>
                <w:rtl w:val="0"/>
              </w:rPr>
              <w:t>Project Laboratory for Development of Intellectual Competitions in Economics</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Project head</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Fonts w:ascii="Times New Roman" w:hAnsi="Times New Roman"/>
                <w:i w:val="1"/>
                <w:iCs w:val="1"/>
                <w:sz w:val="28"/>
                <w:szCs w:val="28"/>
                <w:rtl w:val="0"/>
              </w:rPr>
              <w:t>Anna Bondareva</w:t>
            </w:r>
          </w:p>
        </w:tc>
      </w:tr>
      <w:tr>
        <w:tblPrEx>
          <w:shd w:val="clear" w:color="auto" w:fill="d0ddef"/>
        </w:tblPrEx>
        <w:trPr>
          <w:trHeight w:val="95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Main place of the project head</w:t>
            </w:r>
            <w:r>
              <w:rPr>
                <w:rFonts w:ascii="Times New Roman" w:hAnsi="Times New Roman" w:hint="default"/>
                <w:sz w:val="28"/>
                <w:szCs w:val="28"/>
                <w:rtl w:val="0"/>
                <w:lang w:val="en-US"/>
              </w:rPr>
              <w:t>’</w:t>
            </w:r>
            <w:r>
              <w:rPr>
                <w:rFonts w:ascii="Times New Roman" w:hAnsi="Times New Roman"/>
                <w:sz w:val="28"/>
                <w:szCs w:val="28"/>
                <w:rtl w:val="0"/>
                <w:lang w:val="en-US"/>
              </w:rPr>
              <w:t>s employment at HSE University</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20"/>
                <w:tab w:val="left" w:pos="1440"/>
                <w:tab w:val="left" w:pos="2160"/>
                <w:tab w:val="left" w:pos="2880"/>
                <w:tab w:val="left" w:pos="3600"/>
                <w:tab w:val="left" w:pos="4320"/>
              </w:tabs>
            </w:pPr>
            <w:r>
              <w:rPr>
                <w:rFonts w:ascii="Times New Roman" w:hAnsi="Times New Roman"/>
                <w:sz w:val="28"/>
                <w:szCs w:val="28"/>
                <w:rtl w:val="0"/>
              </w:rPr>
              <w:t>Project Laboratory for Development of Intellectual Competitions in Economics</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Supervisor</w:t>
            </w:r>
            <w:r>
              <w:rPr>
                <w:rFonts w:ascii="Times New Roman" w:hAnsi="Times New Roman" w:hint="default"/>
                <w:sz w:val="28"/>
                <w:szCs w:val="28"/>
                <w:rtl w:val="0"/>
                <w:lang w:val="en-US"/>
              </w:rPr>
              <w:t>’</w:t>
            </w:r>
            <w:r>
              <w:rPr>
                <w:rFonts w:ascii="Times New Roman" w:hAnsi="Times New Roman"/>
                <w:sz w:val="28"/>
                <w:szCs w:val="28"/>
                <w:rtl w:val="0"/>
                <w:lang w:val="en-US"/>
              </w:rPr>
              <w:t>s contact details (e-mail)</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ffffff"/>
              <w:suppressAutoHyphens w:val="0"/>
              <w:bidi w:val="0"/>
              <w:spacing w:before="0" w:after="0" w:line="276" w:lineRule="auto"/>
              <w:ind w:left="0" w:right="0" w:firstLine="0"/>
              <w:jc w:val="left"/>
              <w:outlineLvl w:val="9"/>
              <w:rPr>
                <w:rtl w:val="0"/>
              </w:rPr>
            </w:pPr>
            <w:r>
              <w:rPr>
                <w:rStyle w:val="Hyperlink.0"/>
                <w:rFonts w:ascii="Times New Roman" w:cs="Times New Roman" w:hAnsi="Times New Roman" w:eastAsia="Times New Roman"/>
                <w:b w:val="0"/>
                <w:bCs w:val="0"/>
                <w:i w:val="1"/>
                <w:iCs w:val="1"/>
                <w:caps w:val="0"/>
                <w:smallCaps w:val="0"/>
                <w:strike w:val="0"/>
                <w:dstrike w:val="0"/>
                <w:outline w:val="0"/>
                <w:color w:val="0563c1"/>
                <w:spacing w:val="0"/>
                <w:kern w:val="0"/>
                <w:position w:val="0"/>
                <w:sz w:val="28"/>
                <w:szCs w:val="28"/>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1"/>
                <w:iCs w:val="1"/>
                <w:caps w:val="0"/>
                <w:smallCaps w:val="0"/>
                <w:strike w:val="0"/>
                <w:dstrike w:val="0"/>
                <w:outline w:val="0"/>
                <w:color w:val="0563c1"/>
                <w:spacing w:val="0"/>
                <w:kern w:val="0"/>
                <w:position w:val="0"/>
                <w:sz w:val="28"/>
                <w:szCs w:val="28"/>
                <w:u w:val="single" w:color="0563c1"/>
                <w:shd w:val="nil" w:color="auto" w:fill="auto"/>
                <w:vertAlign w:val="baseline"/>
                <w:rtl w:val="0"/>
                <w14:textOutline>
                  <w14:noFill/>
                </w14:textOutline>
                <w14:textFill>
                  <w14:solidFill>
                    <w14:srgbClr w14:val="0563C1"/>
                  </w14:solidFill>
                </w14:textFill>
              </w:rPr>
              <w:instrText xml:space="preserve"> HYPERLINK "mailto:ab@ecolymp.org"</w:instrText>
            </w:r>
            <w:r>
              <w:rPr>
                <w:rStyle w:val="Hyperlink.0"/>
                <w:rFonts w:ascii="Times New Roman" w:cs="Times New Roman" w:hAnsi="Times New Roman" w:eastAsia="Times New Roman"/>
                <w:b w:val="0"/>
                <w:bCs w:val="0"/>
                <w:i w:val="1"/>
                <w:iCs w:val="1"/>
                <w:caps w:val="0"/>
                <w:smallCaps w:val="0"/>
                <w:strike w:val="0"/>
                <w:dstrike w:val="0"/>
                <w:outline w:val="0"/>
                <w:color w:val="0563c1"/>
                <w:spacing w:val="0"/>
                <w:kern w:val="0"/>
                <w:position w:val="0"/>
                <w:sz w:val="28"/>
                <w:szCs w:val="28"/>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1"/>
                <w:iCs w:val="1"/>
                <w:caps w:val="0"/>
                <w:smallCaps w:val="0"/>
                <w:strike w:val="0"/>
                <w:dstrike w:val="0"/>
                <w:outline w:val="0"/>
                <w:color w:val="0563c1"/>
                <w:spacing w:val="0"/>
                <w:kern w:val="0"/>
                <w:position w:val="0"/>
                <w:sz w:val="28"/>
                <w:szCs w:val="28"/>
                <w:u w:val="single" w:color="0563c1"/>
                <w:shd w:val="nil" w:color="auto" w:fill="auto"/>
                <w:vertAlign w:val="baseline"/>
                <w:rtl w:val="0"/>
                <w:lang w:val="en-US"/>
                <w14:textOutline>
                  <w14:noFill/>
                </w14:textOutline>
                <w14:textFill>
                  <w14:solidFill>
                    <w14:srgbClr w14:val="0563C1"/>
                  </w14:solidFill>
                </w14:textFill>
              </w:rPr>
              <w:t>ab@ecolymp.org</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 xml:space="preserve">Project co-heads at HSE University </w:t>
            </w:r>
            <w:r>
              <w:rPr>
                <w:rFonts w:ascii="Times New Roman" w:hAnsi="Times New Roman"/>
                <w:i w:val="1"/>
                <w:iCs w:val="1"/>
                <w:sz w:val="28"/>
                <w:szCs w:val="28"/>
                <w:rtl w:val="0"/>
                <w:lang w:val="en-US"/>
              </w:rPr>
              <w:t>(if any)</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Contact details of co-heads at HSE University (e-mail)</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Key project idea / description of the problem under consideration</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Goal and objectives of the project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39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Project assignment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n-US"/>
              </w:rPr>
              <w:t>The International Economics Olympiad is an annual competition in economics for high school students that promotes financial literacy among the youth. It is one of the 14 international science olympiads such as IMO, IJSO and others. This year, teams from 53 countries will compete both online and on-site.</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tl w:val="0"/>
              </w:rPr>
            </w:pPr>
            <w:r>
              <w:rPr>
                <w:rFonts w:ascii="Times New Roman" w:hAnsi="Times New Roman"/>
                <w:sz w:val="28"/>
                <w:szCs w:val="28"/>
                <w:rtl w:val="0"/>
                <w:lang w:val="en-US"/>
              </w:rPr>
              <w:t>We are looking for volunteers who will invigilate the contestants during the Economics and Financial Literacy rounds.</w:t>
            </w:r>
            <w:r>
              <w:rPr>
                <w:rFonts w:ascii="Times New Roman" w:hAnsi="Times New Roman" w:hint="default"/>
                <w:sz w:val="28"/>
                <w:szCs w:val="28"/>
                <w:rtl w:val="0"/>
              </w:rPr>
              <w:t> </w:t>
            </w:r>
          </w:p>
        </w:tc>
      </w:tr>
      <w:tr>
        <w:tblPrEx>
          <w:shd w:val="clear" w:color="auto" w:fill="d0ddef"/>
        </w:tblPrEx>
        <w:trPr>
          <w:trHeight w:val="1051"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Project deliverables, special or functional requirements regarding project outcomes</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Ensuring fairness and technical security of the International Economics Olympiad online rounds</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8"/>
                <w:szCs w:val="28"/>
                <w:rtl w:val="0"/>
                <w:lang w:val="en-US"/>
              </w:rPr>
              <w:t>Starting date of project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ru-RU"/>
              </w:rPr>
              <w:t>15</w:t>
            </w:r>
            <w:r>
              <w:rPr>
                <w:rFonts w:ascii="Times New Roman" w:hAnsi="Times New Roman"/>
                <w:i w:val="1"/>
                <w:iCs w:val="1"/>
                <w:sz w:val="28"/>
                <w:szCs w:val="28"/>
                <w:rtl w:val="0"/>
                <w:lang w:val="en-US"/>
              </w:rPr>
              <w:t>.07.2024</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8"/>
                <w:szCs w:val="28"/>
                <w:rtl w:val="0"/>
                <w:lang w:val="en-US"/>
              </w:rPr>
              <w:t>Final date of project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26.07.2024</w:t>
            </w: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Workload (hours per week) per participant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12</w:t>
            </w:r>
          </w:p>
        </w:tc>
      </w:tr>
      <w:tr>
        <w:tblPrEx>
          <w:shd w:val="clear" w:color="auto" w:fill="d0ddef"/>
        </w:tblPrEx>
        <w:trPr>
          <w:trHeight w:val="63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8"/>
                <w:szCs w:val="28"/>
                <w:rtl w:val="0"/>
                <w:lang w:val="en-US"/>
              </w:rPr>
              <w:t>Anticipated number of participants (vacancies) on project team</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25</w:t>
            </w:r>
          </w:p>
        </w:tc>
      </w:tr>
      <w:tr>
        <w:tblPrEx>
          <w:shd w:val="clear" w:color="auto" w:fill="d0ddef"/>
        </w:tblPrEx>
        <w:trPr>
          <w:trHeight w:val="6789"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sz w:val="28"/>
                <w:szCs w:val="28"/>
              </w:rPr>
            </w:pPr>
            <w:r>
              <w:rPr>
                <w:sz w:val="28"/>
                <w:szCs w:val="28"/>
                <w:rtl w:val="0"/>
                <w:lang w:val="en-US"/>
              </w:rPr>
              <w:t xml:space="preserve">Vacancies (roles), short description of tasks, number of credits assigned, and qualification criteria for project participants </w:t>
            </w:r>
            <w:r>
              <w:rPr>
                <w:i w:val="1"/>
                <w:iCs w:val="1"/>
                <w:sz w:val="28"/>
                <w:szCs w:val="28"/>
                <w:rtl w:val="0"/>
                <w:lang w:val="en-US"/>
              </w:rPr>
              <w:t>(description of a single vacancy will be sufficient, if all participants perform similar works)</w:t>
            </w:r>
          </w:p>
          <w:p>
            <w:pPr>
              <w:pStyle w:val="Default"/>
              <w:rPr>
                <w:sz w:val="28"/>
                <w:szCs w:val="28"/>
                <w:lang w:val="en-US"/>
              </w:rPr>
            </w:pPr>
          </w:p>
          <w:p>
            <w:pPr>
              <w:pStyle w:val="Default"/>
              <w:rPr>
                <w:sz w:val="28"/>
                <w:szCs w:val="28"/>
                <w:lang w:val="en-US"/>
              </w:rPr>
            </w:pPr>
          </w:p>
          <w:p>
            <w:pPr>
              <w:pStyle w:val="Default"/>
              <w:rPr>
                <w:sz w:val="28"/>
                <w:szCs w:val="28"/>
                <w:lang w:val="en-US"/>
              </w:rPr>
            </w:pPr>
          </w:p>
          <w:p>
            <w:pPr>
              <w:pStyle w:val="Default"/>
              <w:bidi w:val="0"/>
              <w:ind w:left="0" w:right="0" w:firstLine="0"/>
              <w:jc w:val="left"/>
              <w:rPr>
                <w:rtl w:val="0"/>
              </w:rPr>
            </w:pPr>
            <w:r>
              <w:rPr>
                <w:i w:val="1"/>
                <w:iCs w:val="1"/>
                <w:sz w:val="28"/>
                <w:szCs w:val="28"/>
                <w:rtl w:val="0"/>
                <w:lang w:val="en-US"/>
              </w:rPr>
              <w:t>Credits per  participant shall be calculated as: the duration in weeks * the project</w:t>
            </w:r>
            <w:r>
              <w:rPr>
                <w:i w:val="1"/>
                <w:iCs w:val="1"/>
                <w:sz w:val="28"/>
                <w:szCs w:val="28"/>
                <w:rtl w:val="0"/>
                <w:lang w:val="en-US"/>
              </w:rPr>
              <w:t>’</w:t>
            </w:r>
            <w:r>
              <w:rPr>
                <w:i w:val="1"/>
                <w:iCs w:val="1"/>
                <w:sz w:val="28"/>
                <w:szCs w:val="28"/>
                <w:rtl w:val="0"/>
                <w:lang w:val="en-US"/>
              </w:rPr>
              <w:t>s workload in hours / 25</w:t>
            </w:r>
            <w:r>
              <w:rPr>
                <w:i w:val="1"/>
                <w:iCs w:val="1"/>
                <w:sz w:val="28"/>
                <w:szCs w:val="28"/>
              </w:rPr>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Vacanc</w:t>
            </w:r>
            <w:r>
              <w:rPr>
                <w:rFonts w:ascii="Times New Roman" w:hAnsi="Times New Roman"/>
                <w:i w:val="1"/>
                <w:iCs w:val="1"/>
                <w:sz w:val="28"/>
                <w:szCs w:val="28"/>
                <w:rtl w:val="0"/>
                <w:lang w:val="en-US"/>
              </w:rPr>
              <w:t>ies</w:t>
            </w:r>
            <w:r>
              <w:rPr>
                <w:rFonts w:ascii="Times New Roman" w:hAnsi="Times New Roman"/>
                <w:i w:val="1"/>
                <w:iCs w:val="1"/>
                <w:sz w:val="28"/>
                <w:szCs w:val="28"/>
                <w:rtl w:val="0"/>
                <w:lang w:val="en-US"/>
              </w:rPr>
              <w:t xml:space="preserve"> No.1</w:t>
            </w:r>
            <w:r>
              <w:rPr>
                <w:rFonts w:ascii="Times New Roman" w:hAnsi="Times New Roman"/>
                <w:i w:val="1"/>
                <w:iCs w:val="1"/>
                <w:sz w:val="28"/>
                <w:szCs w:val="28"/>
                <w:rtl w:val="0"/>
                <w:lang w:val="en-US"/>
              </w:rPr>
              <w:t>-20</w:t>
            </w:r>
            <w:r>
              <w:rPr>
                <w:rFonts w:ascii="Times New Roman" w:hAnsi="Times New Roman"/>
                <w:i w:val="1"/>
                <w:iCs w:val="1"/>
                <w:sz w:val="28"/>
                <w:szCs w:val="28"/>
                <w:rtl w:val="0"/>
                <w:lang w:val="en-US"/>
              </w:rPr>
              <w:t>:</w:t>
            </w:r>
          </w:p>
          <w:p>
            <w:pPr>
              <w:pStyle w:val="Normal.0"/>
              <w:bidi w:val="0"/>
              <w:ind w:left="0" w:right="0" w:firstLine="0"/>
              <w:jc w:val="left"/>
              <w:rPr>
                <w:rFonts w:ascii="Times New Roman" w:cs="Times New Roman" w:hAnsi="Times New Roman" w:eastAsia="Times New Roman"/>
                <w:i w:val="1"/>
                <w:iCs w:val="1"/>
                <w:sz w:val="28"/>
                <w:szCs w:val="28"/>
                <w:rtl w:val="0"/>
                <w:lang w:val="en-US"/>
              </w:rPr>
            </w:pPr>
            <w:r>
              <w:rPr>
                <w:rFonts w:ascii="Times New Roman" w:hAnsi="Times New Roman"/>
                <w:i w:val="1"/>
                <w:iCs w:val="1"/>
                <w:sz w:val="28"/>
                <w:szCs w:val="28"/>
                <w:rtl w:val="0"/>
                <w:lang w:val="en-US"/>
              </w:rPr>
              <w:t>Tasks:</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Monitoring contestants' screen activity;</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Checking on suspicious actions;</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Writing reports on violations;</w:t>
            </w:r>
          </w:p>
          <w:p>
            <w:pPr>
              <w:pStyle w:val="По умолчанию"/>
              <w:numPr>
                <w:ilvl w:val="0"/>
                <w:numId w:val="1"/>
              </w:numPr>
              <w:bidi w:val="0"/>
              <w:spacing w:before="0" w:after="24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Assisting contestants in the chat</w:t>
            </w:r>
            <w:r>
              <w:rPr>
                <w:rFonts w:ascii="Times New Roman" w:hAnsi="Times New Roman"/>
                <w:sz w:val="28"/>
                <w:szCs w:val="28"/>
                <w:rtl w:val="0"/>
                <w:lang w:val="en-US"/>
              </w:rPr>
              <w:t>;</w:t>
            </w:r>
          </w:p>
          <w:p>
            <w:pPr>
              <w:pStyle w:val="По умолчанию"/>
              <w:numPr>
                <w:ilvl w:val="0"/>
                <w:numId w:val="1"/>
              </w:numPr>
              <w:bidi w:val="0"/>
              <w:spacing w:before="0" w:after="240" w:line="240" w:lineRule="auto"/>
              <w:ind w:right="0"/>
              <w:jc w:val="left"/>
              <w:rPr>
                <w:rFonts w:ascii="Times New Roman" w:hAnsi="Times New Roman"/>
                <w:sz w:val="28"/>
                <w:szCs w:val="28"/>
                <w:rtl w:val="0"/>
                <w:lang w:val="en-US"/>
              </w:rPr>
            </w:pPr>
            <w:r>
              <w:rPr>
                <w:rFonts w:ascii="Times New Roman" w:hAnsi="Times New Roman"/>
                <w:sz w:val="28"/>
                <w:szCs w:val="28"/>
                <w:rtl w:val="0"/>
                <w:lang w:val="en-US"/>
              </w:rPr>
              <w:t>Writing reports in the proctoring system.</w:t>
            </w:r>
          </w:p>
          <w:p>
            <w:pPr>
              <w:pStyle w:val="Normal.0"/>
              <w:bidi w:val="0"/>
              <w:ind w:left="0" w:right="0" w:firstLine="0"/>
              <w:jc w:val="left"/>
              <w:rPr>
                <w:rFonts w:ascii="Times New Roman" w:cs="Times New Roman" w:hAnsi="Times New Roman" w:eastAsia="Times New Roman"/>
                <w:i w:val="1"/>
                <w:iCs w:val="1"/>
                <w:sz w:val="28"/>
                <w:szCs w:val="28"/>
                <w:rtl w:val="0"/>
                <w:lang w:val="en-US"/>
              </w:rPr>
            </w:pPr>
            <w:r>
              <w:rPr>
                <w:rFonts w:ascii="Times New Roman" w:hAnsi="Times New Roman"/>
                <w:i w:val="1"/>
                <w:iCs w:val="1"/>
                <w:sz w:val="28"/>
                <w:szCs w:val="28"/>
                <w:rtl w:val="0"/>
                <w:lang w:val="en-US"/>
              </w:rPr>
              <w:t>Credits:</w:t>
            </w:r>
            <w:r>
              <w:rPr>
                <w:rFonts w:ascii="Times New Roman" w:hAnsi="Times New Roman"/>
                <w:i w:val="1"/>
                <w:iCs w:val="1"/>
                <w:sz w:val="28"/>
                <w:szCs w:val="28"/>
                <w:rtl w:val="0"/>
                <w:lang w:val="en-US"/>
              </w:rPr>
              <w:t xml:space="preserve"> 1</w:t>
            </w:r>
          </w:p>
          <w:p>
            <w:pPr>
              <w:pStyle w:val="Normal.0"/>
              <w:bidi w:val="0"/>
              <w:ind w:left="0" w:right="0" w:firstLine="0"/>
              <w:jc w:val="left"/>
              <w:rPr>
                <w:rFonts w:ascii="Times New Roman" w:cs="Times New Roman" w:hAnsi="Times New Roman" w:eastAsia="Times New Roman"/>
                <w:i w:val="1"/>
                <w:iCs w:val="1"/>
                <w:sz w:val="28"/>
                <w:szCs w:val="28"/>
                <w:rtl w:val="0"/>
              </w:rPr>
            </w:pPr>
          </w:p>
          <w:p>
            <w:pPr>
              <w:pStyle w:val="Normal.0"/>
              <w:bidi w:val="0"/>
              <w:ind w:left="0" w:right="0" w:firstLine="0"/>
              <w:jc w:val="left"/>
              <w:rPr>
                <w:rFonts w:ascii="Times New Roman" w:cs="Times New Roman" w:hAnsi="Times New Roman" w:eastAsia="Times New Roman"/>
                <w:i w:val="1"/>
                <w:iCs w:val="1"/>
                <w:sz w:val="28"/>
                <w:szCs w:val="28"/>
                <w:rtl w:val="0"/>
                <w:lang w:val="en-US"/>
              </w:rPr>
            </w:pPr>
            <w:r>
              <w:rPr>
                <w:rFonts w:ascii="Times New Roman" w:hAnsi="Times New Roman"/>
                <w:i w:val="1"/>
                <w:iCs w:val="1"/>
                <w:sz w:val="28"/>
                <w:szCs w:val="28"/>
                <w:rtl w:val="0"/>
                <w:lang w:val="en-US"/>
              </w:rPr>
              <w:t>Qualification criteria:</w:t>
            </w:r>
            <w:r>
              <w:rPr>
                <w:rFonts w:ascii="Times New Roman" w:hAnsi="Times New Roman"/>
                <w:i w:val="1"/>
                <w:iCs w:val="1"/>
                <w:sz w:val="28"/>
                <w:szCs w:val="28"/>
                <w:rtl w:val="0"/>
                <w:lang w:val="en-US"/>
              </w:rPr>
              <w:t xml:space="preserve"> </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Knowledge of English (level </w:t>
            </w:r>
            <w:r>
              <w:rPr>
                <w:rFonts w:ascii="Times New Roman" w:hAnsi="Times New Roman"/>
                <w:b w:val="1"/>
                <w:bCs w:val="1"/>
                <w:sz w:val="28"/>
                <w:szCs w:val="28"/>
                <w:rtl w:val="0"/>
                <w:lang w:val="de-DE"/>
              </w:rPr>
              <w:t>B2-C2</w:t>
            </w:r>
            <w:r>
              <w:rPr>
                <w:rFonts w:ascii="Times New Roman" w:hAnsi="Times New Roman"/>
                <w:sz w:val="28"/>
                <w:szCs w:val="28"/>
                <w:rtl w:val="0"/>
                <w:lang w:val="it-IT"/>
              </w:rPr>
              <w:t>);</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tl w:val="0"/>
              </w:rPr>
            </w:pPr>
            <w:r>
              <w:rPr>
                <w:rFonts w:ascii="Times New Roman" w:hAnsi="Times New Roman"/>
                <w:sz w:val="28"/>
                <w:szCs w:val="28"/>
                <w:rtl w:val="0"/>
                <w:lang w:val="en-US"/>
              </w:rPr>
              <w:t>- Readiness to study the instructions thoroughly in advance.</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Total credits</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25</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Final assessment format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i w:val="1"/>
                <w:iCs w:val="1"/>
                <w:sz w:val="28"/>
                <w:szCs w:val="28"/>
                <w:rtl w:val="0"/>
                <w:lang w:val="en-US"/>
              </w:rPr>
              <w:t>Pass/fail</w:t>
            </w:r>
          </w:p>
        </w:tc>
      </w:tr>
      <w:tr>
        <w:tblPrEx>
          <w:shd w:val="clear" w:color="auto" w:fill="d0ddef"/>
        </w:tblPrEx>
        <w:trPr>
          <w:trHeight w:val="684"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Format of results subject to assessment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 xml:space="preserve">Report </w:t>
            </w:r>
            <w:r>
              <w:rPr>
                <w:rFonts w:ascii="Times New Roman" w:hAnsi="Times New Roman"/>
                <w:i w:val="1"/>
                <w:iCs w:val="1"/>
                <w:sz w:val="28"/>
                <w:szCs w:val="28"/>
                <w:rtl w:val="0"/>
                <w:lang w:val="en-US"/>
              </w:rPr>
              <w:t>on the supervised contestants in the proctoring system</w:t>
            </w:r>
          </w:p>
        </w:tc>
      </w:tr>
      <w:tr>
        <w:tblPrEx>
          <w:shd w:val="clear" w:color="auto" w:fill="d0ddef"/>
        </w:tblPrEx>
        <w:trPr>
          <w:trHeight w:val="1417"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8"/>
                <w:szCs w:val="28"/>
                <w:rtl w:val="0"/>
                <w:lang w:val="en-US"/>
              </w:rPr>
              <w:t>Formula for resulting grade, possible assessment criteria, including all requirements and parameters</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The pass is given on the basis on the project head</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s review of the students</w:t>
            </w:r>
            <w:r>
              <w:rPr>
                <w:rFonts w:ascii="Times New Roman" w:hAnsi="Times New Roman" w:hint="default"/>
                <w:i w:val="1"/>
                <w:iCs w:val="1"/>
                <w:sz w:val="28"/>
                <w:szCs w:val="28"/>
                <w:rtl w:val="0"/>
                <w:lang w:val="en-US"/>
              </w:rPr>
              <w:t xml:space="preserve">’ </w:t>
            </w:r>
            <w:r>
              <w:rPr>
                <w:rFonts w:ascii="Times New Roman" w:hAnsi="Times New Roman"/>
                <w:i w:val="1"/>
                <w:iCs w:val="1"/>
                <w:sz w:val="28"/>
                <w:szCs w:val="28"/>
                <w:rtl w:val="0"/>
                <w:lang w:val="en-US"/>
              </w:rPr>
              <w:t xml:space="preserve">reports in the system. 100% report filling is required. </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 xml:space="preserve">Retakes in case of unsatisfactory grades </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No</w:t>
            </w:r>
          </w:p>
        </w:tc>
      </w:tr>
      <w:tr>
        <w:tblPrEx>
          <w:shd w:val="clear" w:color="auto" w:fill="d0ddef"/>
        </w:tblPrEx>
        <w:trPr>
          <w:trHeight w:val="7642"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Anticipated educational outcomes of the project</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 xml:space="preserve">Students will gain a deep understanding of international economics principles and practices, as they will be responsible for ensuring the integrity and security of the competition. IEO proctors will develop strong organizational and communication skills, as they will need to coordinate with participants from various countries and ensure a smooth and fair examination process. Additionally, this opportunity will foster a sense of global citizenship and cultural awareness, as students engage with peers from diverse backgrounds. Finally, serving as online proctors will empower students to take on leadership roles and responsibilities, enhancing their confidence and adaptability in a digital learning environment. </w:t>
            </w:r>
          </w:p>
        </w:tc>
      </w:tr>
      <w:tr>
        <w:tblPrEx>
          <w:shd w:val="clear" w:color="auto" w:fill="d0ddef"/>
        </w:tblPrEx>
        <w:trPr>
          <w:trHeight w:val="327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8"/>
                <w:szCs w:val="28"/>
                <w:rtl w:val="0"/>
                <w:lang w:val="en-US"/>
              </w:rPr>
              <w:t>Special aspects of the project implementation: territory, time, information resources, etc.</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de-DE"/>
              </w:rPr>
              <w:t>Dates</w:t>
            </w:r>
            <w:r>
              <w:rPr>
                <w:rFonts w:ascii="Times New Roman" w:hAnsi="Times New Roman"/>
                <w:b w:val="1"/>
                <w:bCs w:val="1"/>
                <w:sz w:val="28"/>
                <w:szCs w:val="28"/>
                <w:rtl w:val="0"/>
                <w:lang w:val="en-US"/>
              </w:rPr>
              <w:t xml:space="preserve"> on on-site proctoring</w:t>
            </w:r>
            <w:r>
              <w:rPr>
                <w:rFonts w:ascii="Times New Roman" w:hAnsi="Times New Roman"/>
                <w:b w:val="1"/>
                <w:bCs w:val="1"/>
                <w:sz w:val="28"/>
                <w:szCs w:val="28"/>
                <w:rtl w:val="0"/>
              </w:rPr>
              <w:t>:</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 xml:space="preserve">24 July, 9:00-14:30 </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it-IT"/>
              </w:rPr>
              <w:t>Economics</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Fonts w:ascii="Times New Roman" w:cs="Times New Roman" w:hAnsi="Times New Roman" w:eastAsia="Times New Roman"/>
                <w:sz w:val="28"/>
                <w:szCs w:val="28"/>
                <w:rtl w:val="0"/>
              </w:rPr>
            </w:pPr>
            <w:r>
              <w:rPr>
                <w:rFonts w:ascii="Times New Roman" w:hAnsi="Times New Roman"/>
                <w:b w:val="1"/>
                <w:bCs w:val="1"/>
                <w:sz w:val="28"/>
                <w:szCs w:val="28"/>
                <w:rtl w:val="0"/>
                <w:lang w:val="en-US"/>
              </w:rPr>
              <w:t>25 July, 9:00-12:00</w:t>
            </w:r>
            <w:r>
              <w:rPr>
                <w:rFonts w:ascii="Times New Roman" w:hAnsi="Times New Roman" w:hint="default"/>
                <w:b w:val="1"/>
                <w:bCs w:val="1"/>
                <w:sz w:val="28"/>
                <w:szCs w:val="28"/>
                <w:rtl w:val="0"/>
              </w:rPr>
              <w:t> </w:t>
            </w:r>
            <w:r>
              <w:rPr>
                <w:rFonts w:ascii="Times New Roman" w:hAnsi="Times New Roman" w:hint="default"/>
                <w:sz w:val="28"/>
                <w:szCs w:val="28"/>
                <w:rtl w:val="0"/>
                <w:lang w:val="en-US"/>
              </w:rPr>
              <w:t xml:space="preserve">— </w:t>
            </w:r>
            <w:r>
              <w:rPr>
                <w:rFonts w:ascii="Times New Roman" w:hAnsi="Times New Roman"/>
                <w:sz w:val="28"/>
                <w:szCs w:val="28"/>
                <w:rtl w:val="0"/>
                <w:lang w:val="en-US"/>
              </w:rPr>
              <w:t>Financial Literacy Game</w:t>
            </w:r>
            <w:r>
              <w:rPr>
                <w:rFonts w:ascii="Times New Roman" w:cs="Times New Roman" w:hAnsi="Times New Roman" w:eastAsia="Times New Roman"/>
                <w:sz w:val="28"/>
                <w:szCs w:val="28"/>
                <w:rtl w:val="0"/>
              </w:rPr>
              <w:br w:type="textWrapping"/>
              <w:br w:type="textWrapping"/>
            </w:r>
            <w:r>
              <w:rPr>
                <w:rFonts w:ascii="Times New Roman" w:hAnsi="Times New Roman"/>
                <w:b w:val="1"/>
                <w:bCs w:val="1"/>
                <w:sz w:val="28"/>
                <w:szCs w:val="28"/>
                <w:rtl w:val="0"/>
                <w:lang w:val="en-US"/>
              </w:rPr>
              <w:t>Place:</w:t>
            </w:r>
            <w:r>
              <w:rPr>
                <w:rFonts w:ascii="Times New Roman" w:hAnsi="Times New Roman"/>
                <w:sz w:val="28"/>
                <w:szCs w:val="28"/>
                <w:rtl w:val="0"/>
              </w:rPr>
              <w:t xml:space="preserve"> Pokrovsky Blvd, 11</w:t>
            </w:r>
          </w:p>
          <w:p>
            <w:pPr>
              <w:pStyle w:val="По умолчанию"/>
              <w:tabs>
                <w:tab w:val="left" w:pos="720"/>
                <w:tab w:val="left" w:pos="1440"/>
                <w:tab w:val="left" w:pos="2160"/>
                <w:tab w:val="left" w:pos="2880"/>
                <w:tab w:val="left" w:pos="3600"/>
                <w:tab w:val="left" w:pos="4320"/>
              </w:tabs>
              <w:bidi w:val="0"/>
              <w:spacing w:before="0" w:after="240" w:line="240" w:lineRule="auto"/>
              <w:ind w:left="0" w:right="0" w:firstLine="0"/>
              <w:jc w:val="left"/>
              <w:rPr>
                <w:rtl w:val="0"/>
              </w:rPr>
            </w:pPr>
            <w:r>
              <w:rPr>
                <w:rFonts w:ascii="Times New Roman" w:hAnsi="Times New Roman"/>
                <w:sz w:val="28"/>
                <w:szCs w:val="28"/>
                <w:rtl w:val="0"/>
                <w:lang w:val="en-US"/>
              </w:rPr>
              <w:t xml:space="preserve">The preliminary training for proctors will take place on </w:t>
            </w:r>
            <w:r>
              <w:rPr>
                <w:rFonts w:ascii="Times New Roman" w:hAnsi="Times New Roman"/>
                <w:b w:val="1"/>
                <w:bCs w:val="1"/>
                <w:sz w:val="28"/>
                <w:szCs w:val="28"/>
                <w:rtl w:val="0"/>
                <w:lang w:val="en-US"/>
              </w:rPr>
              <w:t xml:space="preserve">15-21 July </w:t>
            </w:r>
            <w:r>
              <w:rPr>
                <w:rFonts w:ascii="Times New Roman" w:hAnsi="Times New Roman"/>
                <w:sz w:val="28"/>
                <w:szCs w:val="28"/>
                <w:rtl w:val="0"/>
                <w:lang w:val="pt-PT"/>
              </w:rPr>
              <w:t>(online).</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ru-RU"/>
              </w:rPr>
              <w:t>Recommended educational programmes</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Students submits a CV (resume)</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No</w:t>
            </w:r>
          </w:p>
        </w:tc>
      </w:tr>
      <w:tr>
        <w:tblPrEx>
          <w:shd w:val="clear" w:color="auto" w:fill="d0ddef"/>
        </w:tblPrEx>
        <w:trPr>
          <w:trHeight w:val="318" w:hRule="atLeast"/>
        </w:trPr>
        <w:tc>
          <w:tcPr>
            <w:tcW w:type="dxa" w:w="4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8"/>
                <w:szCs w:val="28"/>
                <w:rtl w:val="0"/>
                <w:lang w:val="en-US"/>
              </w:rPr>
              <w:t>Students submit a motivation letter</w:t>
            </w:r>
          </w:p>
        </w:tc>
        <w:tc>
          <w:tcPr>
            <w:tcW w:type="dxa" w:w="4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i w:val="1"/>
                <w:iCs w:val="1"/>
                <w:sz w:val="28"/>
                <w:szCs w:val="28"/>
                <w:rtl w:val="0"/>
                <w:lang w:val="en-US"/>
              </w:rPr>
              <w:t>Yes</w:t>
            </w:r>
          </w:p>
        </w:tc>
      </w:tr>
    </w:tbl>
    <w:p>
      <w:pPr>
        <w:pStyle w:val="Normal.0"/>
        <w:widowControl w:val="0"/>
        <w:tabs>
          <w:tab w:val="left" w:pos="709"/>
        </w:tabs>
        <w:spacing w:line="240" w:lineRule="auto"/>
        <w:jc w:val="center"/>
      </w:pPr>
      <w:r>
        <w:rPr>
          <w:rFonts w:ascii="Times New Roman" w:cs="Times New Roman" w:hAnsi="Times New Roman" w:eastAsia="Times New Roman"/>
          <w:b w:val="1"/>
          <w:bCs w:val="1"/>
          <w:sz w:val="26"/>
          <w:szCs w:val="26"/>
          <w:lang w:val="en-US"/>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b w:val="1"/>
          <w:bCs w:val="1"/>
          <w:sz w:val="26"/>
          <w:szCs w:val="26"/>
          <w:vertAlign w:val="superscript"/>
          <w:lang w:val="ru-RU"/>
        </w:rPr>
        <w:footnoteRef/>
      </w:r>
      <w:r>
        <w:rPr>
          <w:rFonts w:ascii="Times New Roman" w:hAnsi="Times New Roman"/>
          <w:sz w:val="18"/>
          <w:szCs w:val="18"/>
          <w:rtl w:val="0"/>
          <w:lang w:val="en-US"/>
        </w:rPr>
        <w:t xml:space="preserve"> Project work initiated by HSE University</w:t>
      </w:r>
      <w:r>
        <w:rPr>
          <w:rFonts w:ascii="Times New Roman" w:hAnsi="Times New Roman" w:hint="default"/>
          <w:sz w:val="18"/>
          <w:szCs w:val="18"/>
          <w:rtl w:val="0"/>
          <w:lang w:val="en-US"/>
        </w:rPr>
        <w:t>’</w:t>
      </w:r>
      <w:r>
        <w:rPr>
          <w:rFonts w:ascii="Times New Roman" w:hAnsi="Times New Roman"/>
          <w:sz w:val="18"/>
          <w:szCs w:val="18"/>
          <w:rtl w:val="0"/>
          <w:lang w:val="en-US"/>
        </w:rPr>
        <w:t xml:space="preserve">s staff can be organized jointly with partner organizations.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20"/>
          <w:tab w:val="left" w:pos="1440"/>
          <w:tab w:val="left" w:pos="2160"/>
          <w:tab w:val="left" w:pos="2880"/>
          <w:tab w:val="left" w:pos="3600"/>
          <w:tab w:val="left" w:pos="432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ru-RU"/>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