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E35686" w14:paraId="06A0CA58" w14:textId="77777777" w:rsidTr="009467EC">
        <w:tc>
          <w:tcPr>
            <w:tcW w:w="3510" w:type="dxa"/>
          </w:tcPr>
          <w:p w14:paraId="258F7586" w14:textId="77777777" w:rsidR="00A47807" w:rsidRPr="00E35686" w:rsidRDefault="00A47807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t>Тип проекта</w:t>
            </w:r>
          </w:p>
        </w:tc>
        <w:tc>
          <w:tcPr>
            <w:tcW w:w="6055" w:type="dxa"/>
          </w:tcPr>
          <w:p w14:paraId="0B9C4F74" w14:textId="602E73D4" w:rsidR="00A47807" w:rsidRPr="00A9194A" w:rsidRDefault="00FC2034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Исследовательский</w:t>
            </w:r>
          </w:p>
        </w:tc>
      </w:tr>
      <w:tr w:rsidR="00A47807" w:rsidRPr="00E35686" w14:paraId="2221CB5A" w14:textId="77777777" w:rsidTr="009467EC">
        <w:tc>
          <w:tcPr>
            <w:tcW w:w="3510" w:type="dxa"/>
          </w:tcPr>
          <w:p w14:paraId="617F4418" w14:textId="77777777" w:rsidR="00A47807" w:rsidRPr="00E35686" w:rsidRDefault="00A47807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20032B63" w:rsidR="00A47807" w:rsidRPr="000513D0" w:rsidRDefault="000513D0" w:rsidP="00304F99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0513D0">
              <w:rPr>
                <w:b/>
                <w:i/>
                <w:color w:val="000000" w:themeColor="text1"/>
                <w:sz w:val="22"/>
                <w:szCs w:val="22"/>
              </w:rPr>
              <w:t>"</w:t>
            </w:r>
            <w:r w:rsidR="00304F99" w:rsidRPr="00304F99">
              <w:rPr>
                <w:b/>
                <w:i/>
                <w:color w:val="000000" w:themeColor="text1"/>
                <w:sz w:val="22"/>
                <w:szCs w:val="22"/>
              </w:rPr>
              <w:t>”</w:t>
            </w:r>
            <w:r w:rsidR="00304F99">
              <w:rPr>
                <w:b/>
                <w:i/>
                <w:color w:val="000000" w:themeColor="text1"/>
                <w:sz w:val="22"/>
                <w:szCs w:val="22"/>
              </w:rPr>
              <w:t>Экономико-правовые аспекты фармацевтической деятельности</w:t>
            </w:r>
            <w:r w:rsidRPr="000513D0">
              <w:rPr>
                <w:b/>
                <w:i/>
                <w:color w:val="000000" w:themeColor="text1"/>
                <w:sz w:val="22"/>
                <w:szCs w:val="22"/>
              </w:rPr>
              <w:t>"</w:t>
            </w:r>
          </w:p>
        </w:tc>
      </w:tr>
      <w:tr w:rsidR="00023E4E" w:rsidRPr="00E35686" w14:paraId="257A433B" w14:textId="77777777" w:rsidTr="009467EC">
        <w:tc>
          <w:tcPr>
            <w:tcW w:w="3510" w:type="dxa"/>
          </w:tcPr>
          <w:p w14:paraId="0583032E" w14:textId="77777777" w:rsidR="00023E4E" w:rsidRPr="00E35686" w:rsidRDefault="00023E4E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0C3DE31" w:rsidR="00023E4E" w:rsidRPr="00A9194A" w:rsidRDefault="008B4615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Факультет права</w:t>
            </w:r>
          </w:p>
        </w:tc>
      </w:tr>
      <w:tr w:rsidR="000A439E" w:rsidRPr="00E35686" w14:paraId="5DC778C2" w14:textId="77777777" w:rsidTr="009467EC">
        <w:tc>
          <w:tcPr>
            <w:tcW w:w="3510" w:type="dxa"/>
          </w:tcPr>
          <w:p w14:paraId="5E71ED99" w14:textId="77777777" w:rsidR="000A439E" w:rsidRPr="00E35686" w:rsidRDefault="000A439E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t>Руководитель проекта</w:t>
            </w:r>
          </w:p>
        </w:tc>
        <w:tc>
          <w:tcPr>
            <w:tcW w:w="6055" w:type="dxa"/>
          </w:tcPr>
          <w:p w14:paraId="5FA49033" w14:textId="77777777" w:rsidR="000A439E" w:rsidRPr="00A9194A" w:rsidRDefault="008B4615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Панов Александр Анатольевич</w:t>
            </w:r>
          </w:p>
          <w:p w14:paraId="53B4E524" w14:textId="0F91C3EF" w:rsidR="00E35686" w:rsidRPr="009C31DF" w:rsidRDefault="00F85177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hyperlink r:id="rId6" w:history="1">
              <w:r w:rsidR="002A53A0" w:rsidRPr="00A9194A">
                <w:rPr>
                  <w:rStyle w:val="a5"/>
                  <w:i/>
                  <w:sz w:val="22"/>
                  <w:szCs w:val="22"/>
                  <w:lang w:val="en-US"/>
                </w:rPr>
                <w:t>hsepharmlaw</w:t>
              </w:r>
              <w:r w:rsidR="002A53A0" w:rsidRPr="009C31DF">
                <w:rPr>
                  <w:rStyle w:val="a5"/>
                  <w:i/>
                  <w:sz w:val="22"/>
                  <w:szCs w:val="22"/>
                </w:rPr>
                <w:t>@</w:t>
              </w:r>
              <w:r w:rsidR="002A53A0" w:rsidRPr="00A9194A">
                <w:rPr>
                  <w:rStyle w:val="a5"/>
                  <w:i/>
                  <w:sz w:val="22"/>
                  <w:szCs w:val="22"/>
                  <w:lang w:val="en-US"/>
                </w:rPr>
                <w:t>yandex</w:t>
              </w:r>
              <w:r w:rsidR="002A53A0" w:rsidRPr="009C31DF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2A53A0" w:rsidRPr="00A9194A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A53A0" w:rsidRPr="009C31D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47807" w:rsidRPr="00E35686" w14:paraId="03E3786D" w14:textId="77777777" w:rsidTr="009467EC">
        <w:tc>
          <w:tcPr>
            <w:tcW w:w="3510" w:type="dxa"/>
          </w:tcPr>
          <w:p w14:paraId="77318017" w14:textId="025973B8" w:rsidR="00A47807" w:rsidRPr="00E35686" w:rsidRDefault="00D66022" w:rsidP="00D66022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>Подробное о</w:t>
            </w:r>
            <w:r w:rsidR="00A47807" w:rsidRPr="00E35686">
              <w:rPr>
                <w:sz w:val="22"/>
                <w:szCs w:val="22"/>
              </w:rPr>
              <w:t xml:space="preserve">писание </w:t>
            </w:r>
            <w:r w:rsidR="00971EDC" w:rsidRPr="00E35686">
              <w:rPr>
                <w:sz w:val="22"/>
                <w:szCs w:val="22"/>
              </w:rPr>
              <w:t xml:space="preserve">содержания </w:t>
            </w:r>
            <w:r w:rsidR="00A47807" w:rsidRPr="00E35686">
              <w:rPr>
                <w:sz w:val="22"/>
                <w:szCs w:val="22"/>
              </w:rPr>
              <w:t>проект</w:t>
            </w:r>
            <w:r w:rsidR="00971EDC" w:rsidRPr="00E35686">
              <w:rPr>
                <w:sz w:val="22"/>
                <w:szCs w:val="22"/>
              </w:rPr>
              <w:t>ной работы</w:t>
            </w:r>
          </w:p>
        </w:tc>
        <w:tc>
          <w:tcPr>
            <w:tcW w:w="6055" w:type="dxa"/>
          </w:tcPr>
          <w:p w14:paraId="410BFC86" w14:textId="31862BF3" w:rsidR="00A47807" w:rsidRPr="00F86058" w:rsidRDefault="00F86058" w:rsidP="00304F99">
            <w:pPr>
              <w:jc w:val="both"/>
              <w:rPr>
                <w:i/>
                <w:sz w:val="22"/>
                <w:szCs w:val="22"/>
              </w:rPr>
            </w:pPr>
            <w:r w:rsidRPr="00F86058">
              <w:rPr>
                <w:i/>
                <w:sz w:val="22"/>
                <w:szCs w:val="22"/>
              </w:rPr>
              <w:t xml:space="preserve">Проект направлен на всестороннее изучение фармацевтической </w:t>
            </w:r>
            <w:proofErr w:type="gramStart"/>
            <w:r w:rsidRPr="00F86058">
              <w:rPr>
                <w:i/>
                <w:sz w:val="22"/>
                <w:szCs w:val="22"/>
              </w:rPr>
              <w:t>индустрии</w:t>
            </w:r>
            <w:proofErr w:type="gramEnd"/>
            <w:r w:rsidRPr="00F86058">
              <w:rPr>
                <w:i/>
                <w:sz w:val="22"/>
                <w:szCs w:val="22"/>
              </w:rPr>
              <w:t xml:space="preserve"> как с правовой, так и </w:t>
            </w:r>
            <w:r w:rsidR="00304F99">
              <w:rPr>
                <w:i/>
                <w:sz w:val="22"/>
                <w:szCs w:val="22"/>
              </w:rPr>
              <w:t>экономической</w:t>
            </w:r>
            <w:r w:rsidRPr="00F86058">
              <w:rPr>
                <w:i/>
                <w:sz w:val="22"/>
                <w:szCs w:val="22"/>
              </w:rPr>
              <w:t xml:space="preserve"> точки зрения. Участники смогут познакомиться с основами функционирования фармацевтического рынка, ключевыми этапами разработки и вывода лекарственных препаратов на рынок, получат комплексные знания в сфере обращения лекарственных средств, продвижения на рыке, IP – стратегии и </w:t>
            </w:r>
            <w:proofErr w:type="gramStart"/>
            <w:r w:rsidRPr="00F86058">
              <w:rPr>
                <w:i/>
                <w:sz w:val="22"/>
                <w:szCs w:val="22"/>
              </w:rPr>
              <w:t>других</w:t>
            </w:r>
            <w:proofErr w:type="gramEnd"/>
            <w:r w:rsidRPr="00F86058">
              <w:rPr>
                <w:i/>
                <w:sz w:val="22"/>
                <w:szCs w:val="22"/>
              </w:rPr>
              <w:t xml:space="preserve"> связанных с индустрией вопросов. Занятия в рамках проекта проводятся представителями ведущих фармацевтических компаний (</w:t>
            </w:r>
            <w:proofErr w:type="spellStart"/>
            <w:r w:rsidRPr="00F86058">
              <w:rPr>
                <w:i/>
                <w:sz w:val="22"/>
                <w:szCs w:val="22"/>
              </w:rPr>
              <w:t>Big</w:t>
            </w:r>
            <w:proofErr w:type="spellEnd"/>
            <w:r w:rsidRPr="00F860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86058">
              <w:rPr>
                <w:i/>
                <w:sz w:val="22"/>
                <w:szCs w:val="22"/>
              </w:rPr>
              <w:t>Pharma</w:t>
            </w:r>
            <w:proofErr w:type="spellEnd"/>
            <w:r w:rsidRPr="00F86058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F86058">
              <w:rPr>
                <w:i/>
                <w:sz w:val="22"/>
                <w:szCs w:val="22"/>
              </w:rPr>
              <w:t>Novartis</w:t>
            </w:r>
            <w:proofErr w:type="spellEnd"/>
            <w:r w:rsidRPr="00F8605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86058">
              <w:rPr>
                <w:i/>
                <w:sz w:val="22"/>
                <w:szCs w:val="22"/>
              </w:rPr>
              <w:t>Bayer</w:t>
            </w:r>
            <w:proofErr w:type="spellEnd"/>
            <w:r w:rsidRPr="00F8605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86058">
              <w:rPr>
                <w:i/>
                <w:sz w:val="22"/>
                <w:szCs w:val="22"/>
              </w:rPr>
              <w:t>Sanofi</w:t>
            </w:r>
            <w:proofErr w:type="spellEnd"/>
            <w:r w:rsidRPr="00F8605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86058">
              <w:rPr>
                <w:i/>
                <w:sz w:val="22"/>
                <w:szCs w:val="22"/>
              </w:rPr>
              <w:t>Eli</w:t>
            </w:r>
            <w:proofErr w:type="spellEnd"/>
            <w:r w:rsidRPr="00F860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86058">
              <w:rPr>
                <w:i/>
                <w:sz w:val="22"/>
                <w:szCs w:val="22"/>
              </w:rPr>
              <w:t>Lilly</w:t>
            </w:r>
            <w:proofErr w:type="spellEnd"/>
            <w:r w:rsidRPr="00F86058">
              <w:rPr>
                <w:i/>
                <w:sz w:val="22"/>
                <w:szCs w:val="22"/>
              </w:rPr>
              <w:t xml:space="preserve"> и др.) и ведущими юристами российских и иностранных юридических компаний (Пепеляев Групп, </w:t>
            </w:r>
            <w:proofErr w:type="spellStart"/>
            <w:r w:rsidRPr="00F86058">
              <w:rPr>
                <w:i/>
                <w:sz w:val="22"/>
                <w:szCs w:val="22"/>
              </w:rPr>
              <w:t>Hogan</w:t>
            </w:r>
            <w:proofErr w:type="spellEnd"/>
            <w:r w:rsidRPr="00F860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86058">
              <w:rPr>
                <w:i/>
                <w:sz w:val="22"/>
                <w:szCs w:val="22"/>
              </w:rPr>
              <w:t>Lovells</w:t>
            </w:r>
            <w:proofErr w:type="spellEnd"/>
            <w:r w:rsidRPr="00F86058">
              <w:rPr>
                <w:i/>
                <w:sz w:val="22"/>
                <w:szCs w:val="22"/>
              </w:rPr>
              <w:t xml:space="preserve"> и другие). </w:t>
            </w:r>
          </w:p>
        </w:tc>
      </w:tr>
      <w:tr w:rsidR="00A47807" w:rsidRPr="00E35686" w14:paraId="7C9CC284" w14:textId="77777777" w:rsidTr="009467EC">
        <w:tc>
          <w:tcPr>
            <w:tcW w:w="3510" w:type="dxa"/>
          </w:tcPr>
          <w:p w14:paraId="488F959C" w14:textId="4ED0EA38" w:rsidR="00A47807" w:rsidRPr="00E35686" w:rsidRDefault="00A47807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 xml:space="preserve">Цель </w:t>
            </w:r>
            <w:r w:rsidR="00971EDC" w:rsidRPr="00E35686">
              <w:rPr>
                <w:sz w:val="22"/>
                <w:szCs w:val="22"/>
              </w:rPr>
              <w:t xml:space="preserve">и задачи </w:t>
            </w:r>
            <w:r w:rsidRPr="00E35686">
              <w:rPr>
                <w:sz w:val="22"/>
                <w:szCs w:val="22"/>
              </w:rPr>
              <w:t>проекта</w:t>
            </w:r>
          </w:p>
        </w:tc>
        <w:tc>
          <w:tcPr>
            <w:tcW w:w="6055" w:type="dxa"/>
          </w:tcPr>
          <w:p w14:paraId="476B5B5C" w14:textId="73088016" w:rsidR="008D30A3" w:rsidRPr="00F86058" w:rsidRDefault="00F86058" w:rsidP="00F8605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Целью исследования является рассмотрение существующих бизнес-практик в фармацевтической индустрии с точки зрения их нормативной составляющей. </w:t>
            </w:r>
          </w:p>
        </w:tc>
      </w:tr>
      <w:tr w:rsidR="00A47807" w:rsidRPr="00E35686" w14:paraId="0D6CEAC8" w14:textId="77777777" w:rsidTr="009467EC">
        <w:tc>
          <w:tcPr>
            <w:tcW w:w="3510" w:type="dxa"/>
          </w:tcPr>
          <w:p w14:paraId="24DF49F3" w14:textId="463F4851" w:rsidR="00A47807" w:rsidRPr="00E35686" w:rsidRDefault="00032C8B" w:rsidP="00032C8B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>Проектное задание (в</w:t>
            </w:r>
            <w:r w:rsidR="00054118" w:rsidRPr="00E35686">
              <w:rPr>
                <w:sz w:val="22"/>
                <w:szCs w:val="22"/>
              </w:rPr>
              <w:t>иды деятельности, выполняемые студентом в проекте</w:t>
            </w:r>
            <w:r w:rsidRPr="00E35686">
              <w:rPr>
                <w:sz w:val="22"/>
                <w:szCs w:val="22"/>
              </w:rPr>
              <w:t>)</w:t>
            </w:r>
          </w:p>
        </w:tc>
        <w:tc>
          <w:tcPr>
            <w:tcW w:w="6055" w:type="dxa"/>
          </w:tcPr>
          <w:p w14:paraId="335329C4" w14:textId="3E026ACF" w:rsidR="00A47807" w:rsidRDefault="008B4615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Написание группово</w:t>
            </w:r>
            <w:r w:rsidR="00A31ED7">
              <w:rPr>
                <w:i/>
                <w:color w:val="000000" w:themeColor="text1"/>
                <w:sz w:val="22"/>
                <w:szCs w:val="22"/>
              </w:rPr>
              <w:t>й проектной работы</w:t>
            </w:r>
            <w:r w:rsidRPr="00A9194A">
              <w:rPr>
                <w:i/>
                <w:color w:val="000000" w:themeColor="text1"/>
                <w:sz w:val="22"/>
                <w:szCs w:val="22"/>
              </w:rPr>
              <w:t xml:space="preserve"> по соответствующей теме.</w:t>
            </w:r>
            <w:r w:rsidR="008D30A3">
              <w:rPr>
                <w:i/>
                <w:color w:val="000000" w:themeColor="text1"/>
                <w:sz w:val="22"/>
                <w:szCs w:val="22"/>
              </w:rPr>
              <w:t xml:space="preserve"> Предполагается до </w:t>
            </w:r>
            <w:r w:rsidR="00F86058" w:rsidRPr="00A31ED7">
              <w:rPr>
                <w:i/>
                <w:color w:val="000000" w:themeColor="text1"/>
                <w:sz w:val="22"/>
                <w:szCs w:val="22"/>
              </w:rPr>
              <w:t>9</w:t>
            </w:r>
            <w:r w:rsidR="008D30A3">
              <w:rPr>
                <w:i/>
                <w:color w:val="000000" w:themeColor="text1"/>
                <w:sz w:val="22"/>
                <w:szCs w:val="22"/>
              </w:rPr>
              <w:t xml:space="preserve"> проектных групп.</w:t>
            </w:r>
          </w:p>
          <w:p w14:paraId="03075BBB" w14:textId="77777777" w:rsidR="008D30A3" w:rsidRPr="00A31ED7" w:rsidRDefault="008D30A3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Примерные темы</w:t>
            </w:r>
            <w:r w:rsidRPr="00A31ED7">
              <w:rPr>
                <w:i/>
                <w:color w:val="000000" w:themeColor="text1"/>
                <w:sz w:val="22"/>
                <w:szCs w:val="22"/>
              </w:rPr>
              <w:t xml:space="preserve">: </w:t>
            </w:r>
          </w:p>
          <w:p w14:paraId="107F767F" w14:textId="79978012" w:rsidR="008D30A3" w:rsidRPr="00A31ED7" w:rsidRDefault="008D30A3" w:rsidP="008D30A3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14:paraId="08D9B531" w14:textId="081EEF35" w:rsidR="008D30A3" w:rsidRPr="008D30A3" w:rsidRDefault="000513D0" w:rsidP="008D30A3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Экономико-правовой анализ последствий введения параллельного импорта лекарственных сре</w:t>
            </w:r>
            <w:proofErr w:type="gramStart"/>
            <w:r>
              <w:rPr>
                <w:i/>
                <w:color w:val="000000" w:themeColor="text1"/>
                <w:sz w:val="22"/>
                <w:szCs w:val="22"/>
              </w:rPr>
              <w:t>дств в РФ</w:t>
            </w:r>
            <w:proofErr w:type="gramEnd"/>
            <w:r>
              <w:rPr>
                <w:i/>
                <w:color w:val="000000" w:themeColor="text1"/>
                <w:sz w:val="22"/>
                <w:szCs w:val="22"/>
              </w:rPr>
              <w:t>;</w:t>
            </w:r>
          </w:p>
          <w:p w14:paraId="32B6705A" w14:textId="7B95C95A" w:rsidR="008D30A3" w:rsidRDefault="000513D0" w:rsidP="008D30A3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Принудительное лицензирование: экономико-правовой аспект;</w:t>
            </w:r>
          </w:p>
          <w:p w14:paraId="34BD943D" w14:textId="1D94E6F9" w:rsidR="008D30A3" w:rsidRDefault="000513D0" w:rsidP="008D30A3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Правовые аспекты регистрации лекарственных средств;</w:t>
            </w:r>
          </w:p>
          <w:p w14:paraId="004B9224" w14:textId="7E778E45" w:rsidR="008D30A3" w:rsidRDefault="000513D0" w:rsidP="008D30A3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Фальсифицированные лекарственные препараты и способы борьбы с их обращением;</w:t>
            </w:r>
          </w:p>
          <w:p w14:paraId="51F37CD4" w14:textId="141A1A80" w:rsidR="008D30A3" w:rsidRDefault="000513D0" w:rsidP="008D30A3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Особенности правового режима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орфанных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лекарственных средств;</w:t>
            </w:r>
          </w:p>
          <w:p w14:paraId="04F1AA07" w14:textId="662312D8" w:rsidR="008D30A3" w:rsidRDefault="000513D0" w:rsidP="009467EC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Разработка внутриучрежденческой документации, регулирующей обращение лекарственных препаратов в медицинской организации;</w:t>
            </w:r>
          </w:p>
          <w:p w14:paraId="0310882B" w14:textId="5515FA4D" w:rsidR="00DB31EA" w:rsidRPr="00DB31EA" w:rsidRDefault="000513D0" w:rsidP="009467EC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Картели на фармацевтическом рынке;</w:t>
            </w:r>
          </w:p>
          <w:p w14:paraId="13FE04A0" w14:textId="1DC3641B" w:rsidR="00DB31EA" w:rsidRDefault="000513D0" w:rsidP="009467EC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Конструкция риск-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шеринг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в фармацевтической индустрии;</w:t>
            </w:r>
          </w:p>
          <w:p w14:paraId="46147162" w14:textId="4A240BC1" w:rsidR="008D30A3" w:rsidRPr="00DB31EA" w:rsidRDefault="000513D0" w:rsidP="009467EC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Экономико-правовые аспекты взаимозаменяемости лекарственных средств. </w:t>
            </w:r>
          </w:p>
          <w:p w14:paraId="2524BCD5" w14:textId="1876076B" w:rsidR="008D30A3" w:rsidRPr="008D30A3" w:rsidRDefault="008D30A3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691CF6" w:rsidRPr="00E35686" w14:paraId="03FD99AE" w14:textId="77777777" w:rsidTr="009467EC">
        <w:tc>
          <w:tcPr>
            <w:tcW w:w="3510" w:type="dxa"/>
          </w:tcPr>
          <w:p w14:paraId="2677C55D" w14:textId="21AF156E" w:rsidR="00691CF6" w:rsidRPr="00E35686" w:rsidRDefault="00023E4E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36E03400" w:rsidR="00691CF6" w:rsidRPr="00A9194A" w:rsidRDefault="000513D0" w:rsidP="000513D0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14.10</w:t>
            </w:r>
            <w:r w:rsidR="006D3B8B">
              <w:rPr>
                <w:i/>
                <w:color w:val="000000" w:themeColor="text1"/>
                <w:sz w:val="22"/>
                <w:szCs w:val="22"/>
              </w:rPr>
              <w:t>.2017 – 10.06.2018</w:t>
            </w:r>
            <w:r w:rsidR="008B4615" w:rsidRPr="00A9194A">
              <w:rPr>
                <w:i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F379A0" w:rsidRPr="00E35686" w14:paraId="06FA277B" w14:textId="77777777" w:rsidTr="009467EC">
        <w:tc>
          <w:tcPr>
            <w:tcW w:w="3510" w:type="dxa"/>
          </w:tcPr>
          <w:p w14:paraId="32FD511F" w14:textId="70DD1332" w:rsidR="00F379A0" w:rsidRPr="00E35686" w:rsidRDefault="00F379A0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>Количество кредитов</w:t>
            </w:r>
            <w:r w:rsidR="00032C8B" w:rsidRPr="00E356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55" w:type="dxa"/>
          </w:tcPr>
          <w:p w14:paraId="3B1DF2D8" w14:textId="140A1425" w:rsidR="00F379A0" w:rsidRPr="00A9194A" w:rsidRDefault="008B4615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7</w:t>
            </w:r>
          </w:p>
        </w:tc>
      </w:tr>
      <w:tr w:rsidR="00032C8B" w:rsidRPr="00E35686" w14:paraId="6B2E32C1" w14:textId="77777777" w:rsidTr="009467EC">
        <w:tc>
          <w:tcPr>
            <w:tcW w:w="3510" w:type="dxa"/>
          </w:tcPr>
          <w:p w14:paraId="443F6004" w14:textId="32A42871" w:rsidR="00032C8B" w:rsidRPr="00E35686" w:rsidRDefault="00032C8B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41AA5D86" w:rsidR="00032C8B" w:rsidRPr="00A31ED7" w:rsidRDefault="00A31ED7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Защита проектной работы</w:t>
            </w:r>
          </w:p>
        </w:tc>
      </w:tr>
      <w:tr w:rsidR="00A47807" w:rsidRPr="00E35686" w14:paraId="428C3D22" w14:textId="77777777" w:rsidTr="009467EC">
        <w:tc>
          <w:tcPr>
            <w:tcW w:w="3510" w:type="dxa"/>
          </w:tcPr>
          <w:p w14:paraId="45C95973" w14:textId="77777777" w:rsidR="00A47807" w:rsidRPr="00E35686" w:rsidRDefault="00F379A0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lastRenderedPageBreak/>
              <w:t>Тип занятости студента</w:t>
            </w:r>
          </w:p>
        </w:tc>
        <w:tc>
          <w:tcPr>
            <w:tcW w:w="6055" w:type="dxa"/>
          </w:tcPr>
          <w:p w14:paraId="58795A5B" w14:textId="28A38A46" w:rsidR="00A47807" w:rsidRPr="00A9194A" w:rsidRDefault="00304F99" w:rsidP="00F86058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Удаленная работа с четырьмя сессиями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хакатона</w:t>
            </w:r>
            <w:proofErr w:type="spellEnd"/>
          </w:p>
        </w:tc>
      </w:tr>
      <w:tr w:rsidR="00F379A0" w:rsidRPr="00E35686" w14:paraId="26C4FA95" w14:textId="77777777" w:rsidTr="002A53A0">
        <w:trPr>
          <w:trHeight w:val="355"/>
        </w:trPr>
        <w:tc>
          <w:tcPr>
            <w:tcW w:w="3510" w:type="dxa"/>
          </w:tcPr>
          <w:p w14:paraId="191226A8" w14:textId="2C1B06BD" w:rsidR="00F379A0" w:rsidRPr="00E35686" w:rsidRDefault="00295F80" w:rsidP="00F379A0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>Трудоемкость</w:t>
            </w:r>
            <w:r w:rsidR="00F379A0" w:rsidRPr="00E35686">
              <w:rPr>
                <w:sz w:val="22"/>
                <w:szCs w:val="22"/>
              </w:rPr>
              <w:t xml:space="preserve"> (часы в неделю)</w:t>
            </w:r>
            <w:r w:rsidR="00032C8B" w:rsidRPr="00E35686">
              <w:rPr>
                <w:sz w:val="22"/>
                <w:szCs w:val="22"/>
              </w:rPr>
              <w:t xml:space="preserve"> </w:t>
            </w:r>
          </w:p>
          <w:p w14:paraId="6861C4AF" w14:textId="77777777" w:rsidR="00F379A0" w:rsidRPr="00E35686" w:rsidRDefault="00F379A0">
            <w:pPr>
              <w:rPr>
                <w:sz w:val="22"/>
                <w:szCs w:val="22"/>
              </w:rPr>
            </w:pPr>
          </w:p>
        </w:tc>
        <w:tc>
          <w:tcPr>
            <w:tcW w:w="6055" w:type="dxa"/>
          </w:tcPr>
          <w:p w14:paraId="09C35C9F" w14:textId="220505B4" w:rsidR="00F379A0" w:rsidRPr="00A9194A" w:rsidRDefault="00304F99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6 </w:t>
            </w:r>
            <w:r w:rsidR="008B4615" w:rsidRPr="00A9194A">
              <w:rPr>
                <w:i/>
                <w:color w:val="000000" w:themeColor="text1"/>
                <w:sz w:val="22"/>
                <w:szCs w:val="22"/>
              </w:rPr>
              <w:t>часов в неделю</w:t>
            </w:r>
          </w:p>
        </w:tc>
      </w:tr>
      <w:tr w:rsidR="00F379A0" w:rsidRPr="00E35686" w14:paraId="108B57BE" w14:textId="77777777" w:rsidTr="009467EC">
        <w:tc>
          <w:tcPr>
            <w:tcW w:w="3510" w:type="dxa"/>
          </w:tcPr>
          <w:p w14:paraId="6DCDF028" w14:textId="77777777" w:rsidR="00F379A0" w:rsidRPr="00E35686" w:rsidRDefault="00F379A0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339C7CD8" w:rsidR="00F379A0" w:rsidRPr="00A9194A" w:rsidRDefault="002A53A0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Групповая</w:t>
            </w:r>
          </w:p>
        </w:tc>
      </w:tr>
      <w:tr w:rsidR="00F379A0" w:rsidRPr="00E35686" w14:paraId="169F388C" w14:textId="77777777" w:rsidTr="009467EC">
        <w:tc>
          <w:tcPr>
            <w:tcW w:w="3510" w:type="dxa"/>
          </w:tcPr>
          <w:p w14:paraId="4CB1C088" w14:textId="77777777" w:rsidR="00F379A0" w:rsidRPr="00E35686" w:rsidRDefault="00F379A0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6CEBD0A3" w14:textId="45554EDB" w:rsidR="00F379A0" w:rsidRPr="00816798" w:rsidRDefault="008B4615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Знание основ гражданского права,</w:t>
            </w:r>
            <w:r w:rsidR="001F28E7" w:rsidRPr="00A9194A">
              <w:rPr>
                <w:i/>
                <w:color w:val="000000" w:themeColor="text1"/>
                <w:sz w:val="22"/>
                <w:szCs w:val="22"/>
              </w:rPr>
              <w:t xml:space="preserve"> основ административного права – для юристов</w:t>
            </w:r>
            <w:r w:rsidR="00816798" w:rsidRPr="00816798">
              <w:rPr>
                <w:i/>
                <w:color w:val="000000" w:themeColor="text1"/>
                <w:sz w:val="22"/>
                <w:szCs w:val="22"/>
              </w:rPr>
              <w:t>;</w:t>
            </w:r>
          </w:p>
          <w:p w14:paraId="5A33F733" w14:textId="7B8A53BC" w:rsidR="008B4615" w:rsidRPr="00A9194A" w:rsidRDefault="001F28E7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 xml:space="preserve">Знание основ функционирования товарных рынков – для </w:t>
            </w:r>
            <w:r w:rsidR="007940D1" w:rsidRPr="00A9194A">
              <w:rPr>
                <w:i/>
                <w:color w:val="000000" w:themeColor="text1"/>
                <w:sz w:val="22"/>
                <w:szCs w:val="22"/>
              </w:rPr>
              <w:t>студентов неюридических факультетов</w:t>
            </w:r>
          </w:p>
        </w:tc>
      </w:tr>
      <w:tr w:rsidR="00971EDC" w:rsidRPr="00E35686" w14:paraId="415D355E" w14:textId="77777777" w:rsidTr="009467EC">
        <w:tc>
          <w:tcPr>
            <w:tcW w:w="3510" w:type="dxa"/>
          </w:tcPr>
          <w:p w14:paraId="75F0BE50" w14:textId="4E9DD899" w:rsidR="00971EDC" w:rsidRPr="00E35686" w:rsidRDefault="00971EDC">
            <w:pPr>
              <w:rPr>
                <w:sz w:val="22"/>
                <w:szCs w:val="22"/>
              </w:rPr>
            </w:pPr>
            <w:r w:rsidRPr="00E35686">
              <w:rPr>
                <w:rFonts w:cs="Times New Roman"/>
                <w:sz w:val="22"/>
                <w:szCs w:val="22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70804198" w14:textId="77777777" w:rsidR="009C31DF" w:rsidRDefault="009C31DF" w:rsidP="009C31DF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Результаты работы участников представляют собой:</w:t>
            </w:r>
          </w:p>
          <w:p w14:paraId="300C1801" w14:textId="493B83DE" w:rsidR="009C31DF" w:rsidRDefault="009C31DF" w:rsidP="009C31DF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Для юристов -  самостоятельно написанные </w:t>
            </w:r>
            <w:r w:rsidR="007940D1" w:rsidRPr="00A9194A">
              <w:rPr>
                <w:i/>
                <w:color w:val="000000" w:themeColor="text1"/>
                <w:sz w:val="22"/>
                <w:szCs w:val="22"/>
              </w:rPr>
              <w:t>заключения</w:t>
            </w:r>
            <w:r w:rsidR="001F28E7" w:rsidRPr="00A9194A">
              <w:rPr>
                <w:i/>
                <w:color w:val="000000" w:themeColor="text1"/>
                <w:sz w:val="22"/>
                <w:szCs w:val="22"/>
              </w:rPr>
              <w:t xml:space="preserve"> по различным актуальным вопросам правового регулиро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вания фармацевтической индустрии. Работа представляет собой исследование выбранной проблемы с всесторонним использованием применимых НПА, судебной практики, </w:t>
            </w:r>
            <w:r w:rsidR="00D863BC">
              <w:rPr>
                <w:i/>
                <w:color w:val="000000" w:themeColor="text1"/>
                <w:sz w:val="22"/>
                <w:szCs w:val="22"/>
              </w:rPr>
              <w:t>литературных и других информационных источников.</w:t>
            </w:r>
          </w:p>
          <w:p w14:paraId="7BAB4A01" w14:textId="20EAD9BF" w:rsidR="009C31DF" w:rsidRDefault="009C31DF" w:rsidP="009C31DF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Для студентов неюридических факультетов -</w:t>
            </w:r>
            <w:r w:rsidR="00E35686" w:rsidRPr="00A9194A">
              <w:rPr>
                <w:i/>
                <w:color w:val="000000" w:themeColor="text1"/>
                <w:sz w:val="22"/>
                <w:szCs w:val="22"/>
              </w:rPr>
              <w:t xml:space="preserve"> экономическое,</w:t>
            </w:r>
            <w:r w:rsidR="00DB31EA">
              <w:rPr>
                <w:i/>
                <w:color w:val="000000" w:themeColor="text1"/>
                <w:sz w:val="22"/>
                <w:szCs w:val="22"/>
              </w:rPr>
              <w:t xml:space="preserve"> маркетинговое и иное обоснование </w:t>
            </w:r>
            <w:r>
              <w:rPr>
                <w:i/>
                <w:color w:val="000000" w:themeColor="text1"/>
                <w:sz w:val="22"/>
                <w:szCs w:val="22"/>
              </w:rPr>
              <w:t>выбранного правового вопроса или самостоятельное исследование выбранных аспектов индустрии с уклоном</w:t>
            </w:r>
            <w:r w:rsidR="00D863BC">
              <w:rPr>
                <w:i/>
                <w:color w:val="000000" w:themeColor="text1"/>
                <w:sz w:val="22"/>
                <w:szCs w:val="22"/>
              </w:rPr>
              <w:t xml:space="preserve"> на 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с</w:t>
            </w:r>
            <w:r w:rsidR="00D863BC">
              <w:rPr>
                <w:i/>
                <w:color w:val="000000" w:themeColor="text1"/>
                <w:sz w:val="22"/>
                <w:szCs w:val="22"/>
              </w:rPr>
              <w:t>оответствующую факультету специализацию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. </w:t>
            </w:r>
          </w:p>
          <w:p w14:paraId="2FC20597" w14:textId="754301BF" w:rsidR="00971EDC" w:rsidRPr="00A9194A" w:rsidRDefault="009C31DF" w:rsidP="009C31DF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Общий объем работы каждой группы должен составлять до 50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т.з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.  </w:t>
            </w:r>
            <w:r w:rsidR="00E35686" w:rsidRPr="00A9194A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47807" w:rsidRPr="00E35686" w14:paraId="384D585B" w14:textId="77777777" w:rsidTr="009467EC">
        <w:tc>
          <w:tcPr>
            <w:tcW w:w="3510" w:type="dxa"/>
          </w:tcPr>
          <w:p w14:paraId="7548FE3D" w14:textId="036145EE" w:rsidR="00A47807" w:rsidRPr="00E35686" w:rsidRDefault="00A47807" w:rsidP="004E3F32">
            <w:pPr>
              <w:rPr>
                <w:sz w:val="22"/>
                <w:szCs w:val="22"/>
              </w:rPr>
            </w:pPr>
            <w:r w:rsidRPr="00E35686">
              <w:rPr>
                <w:sz w:val="22"/>
                <w:szCs w:val="22"/>
              </w:rPr>
              <w:t xml:space="preserve">Формат </w:t>
            </w:r>
            <w:r w:rsidR="00971EDC" w:rsidRPr="00E35686">
              <w:rPr>
                <w:sz w:val="22"/>
                <w:szCs w:val="22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3C12C14E" w:rsidR="00A47807" w:rsidRPr="00A9194A" w:rsidRDefault="00D863BC" w:rsidP="00A31ED7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Выполненная письменная работа направляется на электронную почту проекта, а так же защищается в презентационной форме на заключительных занятиях проекта. </w:t>
            </w:r>
          </w:p>
        </w:tc>
      </w:tr>
      <w:tr w:rsidR="00971EDC" w:rsidRPr="00E35686" w14:paraId="3AE0C6F1" w14:textId="77777777" w:rsidTr="009467EC">
        <w:tc>
          <w:tcPr>
            <w:tcW w:w="3510" w:type="dxa"/>
          </w:tcPr>
          <w:p w14:paraId="42D07D64" w14:textId="3C2F36B6" w:rsidR="00971EDC" w:rsidRPr="00E35686" w:rsidRDefault="00971EDC">
            <w:pPr>
              <w:rPr>
                <w:sz w:val="22"/>
                <w:szCs w:val="22"/>
              </w:rPr>
            </w:pPr>
            <w:r w:rsidRPr="00E35686">
              <w:rPr>
                <w:rFonts w:cs="Times New Roman"/>
                <w:sz w:val="22"/>
                <w:szCs w:val="22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514D419A" w:rsidR="00F2173F" w:rsidRPr="00A9194A" w:rsidRDefault="00304F99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Итоговая проектная работа– - 100 %</w:t>
            </w:r>
          </w:p>
        </w:tc>
      </w:tr>
      <w:tr w:rsidR="009A3754" w:rsidRPr="00E35686" w14:paraId="301B92D0" w14:textId="77777777" w:rsidTr="00E35686">
        <w:trPr>
          <w:trHeight w:val="859"/>
        </w:trPr>
        <w:tc>
          <w:tcPr>
            <w:tcW w:w="3510" w:type="dxa"/>
          </w:tcPr>
          <w:p w14:paraId="105D9F0C" w14:textId="4A603593" w:rsidR="009A3754" w:rsidRPr="00E35686" w:rsidRDefault="004E3F32">
            <w:pPr>
              <w:rPr>
                <w:rFonts w:cs="Times New Roman"/>
                <w:sz w:val="22"/>
                <w:szCs w:val="22"/>
              </w:rPr>
            </w:pPr>
            <w:r w:rsidRPr="00E35686">
              <w:rPr>
                <w:rFonts w:cs="Times New Roman"/>
                <w:sz w:val="22"/>
                <w:szCs w:val="22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3EDED2FD" w:rsidR="009A3754" w:rsidRPr="00A9194A" w:rsidRDefault="004E3F32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A9194A">
              <w:rPr>
                <w:i/>
                <w:color w:val="000000" w:themeColor="text1"/>
                <w:sz w:val="22"/>
                <w:szCs w:val="22"/>
              </w:rPr>
              <w:t>Да</w:t>
            </w:r>
          </w:p>
        </w:tc>
      </w:tr>
      <w:tr w:rsidR="00A47807" w:rsidRPr="00E35686" w14:paraId="32866122" w14:textId="77777777" w:rsidTr="009467EC">
        <w:tc>
          <w:tcPr>
            <w:tcW w:w="3510" w:type="dxa"/>
          </w:tcPr>
          <w:p w14:paraId="0A437520" w14:textId="77777777" w:rsidR="00A47807" w:rsidRPr="00E35686" w:rsidRDefault="00F379A0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1FCFA8E9" w:rsidR="00A47807" w:rsidRPr="00A9194A" w:rsidRDefault="00304F99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До 50</w:t>
            </w:r>
          </w:p>
        </w:tc>
      </w:tr>
      <w:tr w:rsidR="00A47807" w:rsidRPr="00E35686" w14:paraId="1B2EDEA8" w14:textId="77777777" w:rsidTr="009467EC">
        <w:tc>
          <w:tcPr>
            <w:tcW w:w="3510" w:type="dxa"/>
          </w:tcPr>
          <w:p w14:paraId="4DDD2B4B" w14:textId="77777777" w:rsidR="00295F80" w:rsidRPr="00E35686" w:rsidRDefault="000A439E" w:rsidP="00295F80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t xml:space="preserve">Критерии отбора студентов </w:t>
            </w:r>
          </w:p>
          <w:p w14:paraId="684924B3" w14:textId="38D2CA3E" w:rsidR="00A47807" w:rsidRPr="00E35686" w:rsidRDefault="000A439E" w:rsidP="00295F80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7FA10E84" w:rsidR="007940D1" w:rsidRPr="00816798" w:rsidRDefault="00F86058" w:rsidP="009467EC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Для всех категорий потенциальных участников</w:t>
            </w:r>
            <w:r w:rsidR="007940D1" w:rsidRPr="00816798">
              <w:rPr>
                <w:i/>
                <w:color w:val="000000" w:themeColor="text1"/>
                <w:sz w:val="22"/>
                <w:szCs w:val="22"/>
              </w:rPr>
              <w:t xml:space="preserve"> – конкурс портфолио, </w:t>
            </w:r>
            <w:r>
              <w:rPr>
                <w:i/>
                <w:color w:val="000000" w:themeColor="text1"/>
                <w:sz w:val="22"/>
                <w:szCs w:val="22"/>
              </w:rPr>
              <w:t>выполнение конкурсного задания</w:t>
            </w:r>
            <w:r w:rsidR="007940D1" w:rsidRPr="00816798">
              <w:rPr>
                <w:i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379A0" w:rsidRPr="00E35686" w14:paraId="14260A8B" w14:textId="77777777" w:rsidTr="009467EC">
        <w:tc>
          <w:tcPr>
            <w:tcW w:w="3510" w:type="dxa"/>
          </w:tcPr>
          <w:p w14:paraId="7020932B" w14:textId="56DDD067" w:rsidR="00F379A0" w:rsidRPr="00E35686" w:rsidRDefault="00295F80" w:rsidP="00295F80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t>Рекомендуемые о</w:t>
            </w:r>
            <w:r w:rsidR="00F379A0" w:rsidRPr="00E35686">
              <w:rPr>
                <w:color w:val="000000" w:themeColor="text1"/>
                <w:sz w:val="22"/>
                <w:szCs w:val="22"/>
              </w:rPr>
              <w:t>бразовательные программы</w:t>
            </w:r>
          </w:p>
        </w:tc>
        <w:tc>
          <w:tcPr>
            <w:tcW w:w="6055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26"/>
              <w:gridCol w:w="201"/>
            </w:tblGrid>
            <w:tr w:rsidR="00816798" w:rsidRPr="00E35686" w14:paraId="3001C16E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008B35FB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Бизнес-информатика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A27F7C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5C6B1DCC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4E666CA8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633EC0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12175A77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1462F0FB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Логистика и управление цепями поставок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C386CE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1BD953EE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24F6419A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Международные отношения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3F7788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4933460A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7B759BC9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Менеджмент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E6756A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070A4DDD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4F12C200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Мировая 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A96812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045067DC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3159CA2A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Реклама и связи с общественностью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AD6D8B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0EBBC849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1BAD07CA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Социология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1091F2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127BA2AE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54FF440D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E29504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757EDFFE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30758762" w14:textId="77777777" w:rsid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Юриспруденция</w:t>
                  </w:r>
                </w:p>
                <w:p w14:paraId="27D78921" w14:textId="77777777" w:rsidR="006D3B8B" w:rsidRDefault="006D3B8B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  <w:p w14:paraId="2C1CBA17" w14:textId="726FE6BE" w:rsidR="006D3B8B" w:rsidRPr="006D3B8B" w:rsidRDefault="006D3B8B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Юриспруденция</w:t>
                  </w:r>
                  <w: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  <w:lang w:val="en-US"/>
                    </w:rPr>
                    <w:t xml:space="preserve">: </w:t>
                  </w:r>
                  <w: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t>частное право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1BC5C4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16798" w:rsidRPr="00E35686" w14:paraId="00EB711A" w14:textId="77777777" w:rsidTr="00E3568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75" w:type="dxa"/>
                  </w:tcMar>
                  <w:hideMark/>
                </w:tcPr>
                <w:p w14:paraId="1F6413C7" w14:textId="77777777" w:rsidR="00E35686" w:rsidRPr="00E35686" w:rsidRDefault="00E35686" w:rsidP="00E35686">
                  <w:pPr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</w:pPr>
                  <w:r w:rsidRPr="00E35686">
                    <w:rPr>
                      <w:rFonts w:eastAsia="Times New Roman" w:cs="Arial"/>
                      <w:i/>
                      <w:color w:val="000000" w:themeColor="text1"/>
                      <w:sz w:val="22"/>
                      <w:szCs w:val="22"/>
                    </w:rPr>
                    <w:lastRenderedPageBreak/>
                    <w:t>Экономика и статистика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57808C" w14:textId="77777777" w:rsidR="00E35686" w:rsidRPr="00E35686" w:rsidRDefault="00E35686" w:rsidP="00E35686">
                  <w:pPr>
                    <w:rPr>
                      <w:rFonts w:eastAsia="Times New Roman" w:cs="Times New Roman"/>
                      <w:i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2CBAC50B" w14:textId="1F364895" w:rsidR="00F379A0" w:rsidRPr="00816798" w:rsidRDefault="00F379A0" w:rsidP="004E11DE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F379A0" w:rsidRPr="00E35686" w14:paraId="4B6A6EBF" w14:textId="77777777" w:rsidTr="009467EC">
        <w:tc>
          <w:tcPr>
            <w:tcW w:w="3510" w:type="dxa"/>
          </w:tcPr>
          <w:p w14:paraId="126F3E48" w14:textId="77777777" w:rsidR="00F379A0" w:rsidRPr="00E35686" w:rsidRDefault="00F379A0">
            <w:pPr>
              <w:rPr>
                <w:color w:val="000000" w:themeColor="text1"/>
                <w:sz w:val="22"/>
                <w:szCs w:val="22"/>
              </w:rPr>
            </w:pPr>
            <w:r w:rsidRPr="00E35686">
              <w:rPr>
                <w:color w:val="000000" w:themeColor="text1"/>
                <w:sz w:val="22"/>
                <w:szCs w:val="22"/>
              </w:rPr>
              <w:lastRenderedPageBreak/>
              <w:t>Территория</w:t>
            </w:r>
          </w:p>
        </w:tc>
        <w:tc>
          <w:tcPr>
            <w:tcW w:w="6055" w:type="dxa"/>
          </w:tcPr>
          <w:p w14:paraId="50B50415" w14:textId="4CF3274A" w:rsidR="00F379A0" w:rsidRPr="00816798" w:rsidRDefault="00E35686" w:rsidP="00F745EA">
            <w:pPr>
              <w:rPr>
                <w:i/>
                <w:color w:val="000000" w:themeColor="text1"/>
                <w:sz w:val="22"/>
                <w:szCs w:val="22"/>
              </w:rPr>
            </w:pPr>
            <w:r w:rsidRPr="00816798">
              <w:rPr>
                <w:i/>
                <w:color w:val="000000" w:themeColor="text1"/>
                <w:sz w:val="22"/>
                <w:szCs w:val="22"/>
              </w:rPr>
              <w:t xml:space="preserve">Большой </w:t>
            </w:r>
            <w:proofErr w:type="spellStart"/>
            <w:r w:rsidRPr="00816798">
              <w:rPr>
                <w:i/>
                <w:color w:val="000000" w:themeColor="text1"/>
                <w:sz w:val="22"/>
                <w:szCs w:val="22"/>
              </w:rPr>
              <w:t>Трехсвятительский</w:t>
            </w:r>
            <w:proofErr w:type="spellEnd"/>
            <w:r w:rsidRPr="00816798">
              <w:rPr>
                <w:i/>
                <w:color w:val="000000" w:themeColor="text1"/>
                <w:sz w:val="22"/>
                <w:szCs w:val="22"/>
              </w:rPr>
              <w:t xml:space="preserve"> переулок д. № 3, иные места по договорённости с партнерами курса.</w:t>
            </w:r>
            <w:bookmarkStart w:id="0" w:name="_GoBack"/>
            <w:bookmarkEnd w:id="0"/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81307"/>
    <w:multiLevelType w:val="hybridMultilevel"/>
    <w:tmpl w:val="6360B3CE"/>
    <w:lvl w:ilvl="0" w:tplc="4B4CF9A2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F24A6"/>
    <w:multiLevelType w:val="hybridMultilevel"/>
    <w:tmpl w:val="C420BADE"/>
    <w:lvl w:ilvl="0" w:tplc="BDBA3EE2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13D0"/>
    <w:rsid w:val="00054118"/>
    <w:rsid w:val="00082B9B"/>
    <w:rsid w:val="00097D02"/>
    <w:rsid w:val="000A439E"/>
    <w:rsid w:val="001D79C2"/>
    <w:rsid w:val="001F28E7"/>
    <w:rsid w:val="002174F9"/>
    <w:rsid w:val="00231EA4"/>
    <w:rsid w:val="00295F80"/>
    <w:rsid w:val="002A53A0"/>
    <w:rsid w:val="002D4B0B"/>
    <w:rsid w:val="00304F99"/>
    <w:rsid w:val="00341265"/>
    <w:rsid w:val="003D53CE"/>
    <w:rsid w:val="003E2492"/>
    <w:rsid w:val="003E3254"/>
    <w:rsid w:val="00400C0B"/>
    <w:rsid w:val="00465A4A"/>
    <w:rsid w:val="004678F7"/>
    <w:rsid w:val="004C1D36"/>
    <w:rsid w:val="004E11DE"/>
    <w:rsid w:val="004E12FA"/>
    <w:rsid w:val="004E3F32"/>
    <w:rsid w:val="004E5492"/>
    <w:rsid w:val="005A6059"/>
    <w:rsid w:val="005B478C"/>
    <w:rsid w:val="005C7A32"/>
    <w:rsid w:val="005E13DA"/>
    <w:rsid w:val="005E3B03"/>
    <w:rsid w:val="00611FDD"/>
    <w:rsid w:val="00691CF6"/>
    <w:rsid w:val="006D3B8B"/>
    <w:rsid w:val="00702B52"/>
    <w:rsid w:val="00772F69"/>
    <w:rsid w:val="007940D1"/>
    <w:rsid w:val="00816798"/>
    <w:rsid w:val="0082311B"/>
    <w:rsid w:val="00834E3D"/>
    <w:rsid w:val="008B458B"/>
    <w:rsid w:val="008B4615"/>
    <w:rsid w:val="008D30A3"/>
    <w:rsid w:val="009467EC"/>
    <w:rsid w:val="00963578"/>
    <w:rsid w:val="00971EDC"/>
    <w:rsid w:val="00990D2A"/>
    <w:rsid w:val="009A3754"/>
    <w:rsid w:val="009B3136"/>
    <w:rsid w:val="009C31DF"/>
    <w:rsid w:val="00A013F2"/>
    <w:rsid w:val="00A31ED7"/>
    <w:rsid w:val="00A47807"/>
    <w:rsid w:val="00A550AE"/>
    <w:rsid w:val="00A9194A"/>
    <w:rsid w:val="00AC485F"/>
    <w:rsid w:val="00AD4D49"/>
    <w:rsid w:val="00AD5C4C"/>
    <w:rsid w:val="00B47552"/>
    <w:rsid w:val="00C22E37"/>
    <w:rsid w:val="00C86CA2"/>
    <w:rsid w:val="00CF1A34"/>
    <w:rsid w:val="00D448DA"/>
    <w:rsid w:val="00D4549E"/>
    <w:rsid w:val="00D66022"/>
    <w:rsid w:val="00D863BC"/>
    <w:rsid w:val="00DB31EA"/>
    <w:rsid w:val="00E35686"/>
    <w:rsid w:val="00F17335"/>
    <w:rsid w:val="00F2173F"/>
    <w:rsid w:val="00F379A0"/>
    <w:rsid w:val="00F50313"/>
    <w:rsid w:val="00F745EA"/>
    <w:rsid w:val="00F85177"/>
    <w:rsid w:val="00F86058"/>
    <w:rsid w:val="00FC203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3A0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02B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2B5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2B5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2B5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2B5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02B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3A0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02B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2B5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2B5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2B5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2B5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02B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epharmla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2017-09-19T13:10:00Z</cp:lastPrinted>
  <dcterms:created xsi:type="dcterms:W3CDTF">2017-09-22T10:50:00Z</dcterms:created>
  <dcterms:modified xsi:type="dcterms:W3CDTF">2017-09-22T10:50:00Z</dcterms:modified>
</cp:coreProperties>
</file>