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A" w:rsidRPr="00616E2B" w:rsidRDefault="00A93BBA" w:rsidP="002C5523">
      <w:pPr>
        <w:pStyle w:val="a3"/>
        <w:widowControl/>
        <w:tabs>
          <w:tab w:val="left" w:pos="360"/>
        </w:tabs>
        <w:ind w:left="1080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D87966">
        <w:rPr>
          <w:rFonts w:ascii="Times New Roman" w:hAnsi="Times New Roman"/>
          <w:b/>
          <w:sz w:val="26"/>
          <w:szCs w:val="26"/>
        </w:rPr>
        <w:t xml:space="preserve">Название </w:t>
      </w:r>
      <w:r>
        <w:rPr>
          <w:rFonts w:ascii="Times New Roman" w:hAnsi="Times New Roman"/>
          <w:b/>
          <w:sz w:val="26"/>
          <w:szCs w:val="26"/>
        </w:rPr>
        <w:t xml:space="preserve">научного проекта </w:t>
      </w:r>
    </w:p>
    <w:p w:rsidR="00A93BBA" w:rsidRPr="00BE09EE" w:rsidRDefault="00A93BBA" w:rsidP="00A93BBA">
      <w:pPr>
        <w:pStyle w:val="a3"/>
        <w:widowControl/>
        <w:tabs>
          <w:tab w:val="left" w:pos="360"/>
        </w:tabs>
        <w:ind w:left="674"/>
        <w:rPr>
          <w:rFonts w:ascii="Times New Roman" w:hAnsi="Times New Roman"/>
          <w:sz w:val="26"/>
          <w:szCs w:val="26"/>
        </w:rPr>
      </w:pPr>
    </w:p>
    <w:p w:rsidR="00A93BBA" w:rsidRPr="00616E2B" w:rsidRDefault="00A93BBA" w:rsidP="00A93BBA">
      <w:pPr>
        <w:pStyle w:val="a3"/>
        <w:widowControl/>
        <w:tabs>
          <w:tab w:val="left" w:pos="1134"/>
        </w:tabs>
        <w:ind w:left="1134"/>
        <w:rPr>
          <w:rFonts w:ascii="Times New Roman" w:hAnsi="Times New Roman"/>
          <w:sz w:val="26"/>
          <w:szCs w:val="26"/>
        </w:rPr>
      </w:pPr>
      <w:r w:rsidRPr="00616E2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Арабская весна как триггер глобального фазового перехода</w:t>
      </w:r>
      <w:r w:rsidRPr="00616E2B">
        <w:rPr>
          <w:rFonts w:ascii="Times New Roman" w:hAnsi="Times New Roman"/>
          <w:sz w:val="26"/>
          <w:szCs w:val="26"/>
        </w:rPr>
        <w:t>»</w:t>
      </w:r>
    </w:p>
    <w:p w:rsidR="00A93BBA" w:rsidRDefault="00A93BBA" w:rsidP="00A93BBA">
      <w:pPr>
        <w:pStyle w:val="a3"/>
        <w:widowControl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A93BBA" w:rsidRPr="00616E2B" w:rsidRDefault="00A93BBA" w:rsidP="0000090C">
      <w:pPr>
        <w:pStyle w:val="a3"/>
        <w:widowControl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Структурное п</w:t>
      </w:r>
      <w:r w:rsidRPr="0057672A">
        <w:rPr>
          <w:rFonts w:ascii="Times New Roman" w:hAnsi="Times New Roman"/>
          <w:b/>
          <w:sz w:val="26"/>
          <w:szCs w:val="26"/>
        </w:rPr>
        <w:t xml:space="preserve">одразделение, на базе которого проводится </w:t>
      </w:r>
      <w:r>
        <w:rPr>
          <w:rFonts w:ascii="Times New Roman" w:hAnsi="Times New Roman"/>
          <w:b/>
          <w:sz w:val="26"/>
          <w:szCs w:val="26"/>
        </w:rPr>
        <w:t xml:space="preserve">научное </w:t>
      </w:r>
      <w:r w:rsidRPr="0057672A">
        <w:rPr>
          <w:rFonts w:ascii="Times New Roman" w:hAnsi="Times New Roman"/>
          <w:b/>
          <w:sz w:val="26"/>
          <w:szCs w:val="26"/>
        </w:rPr>
        <w:t>исследование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16E2B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факультет социальных наук, научно-учебная лаборатория мониторинга рисков социально-политической дестабилизации</w:t>
      </w:r>
      <w:r w:rsidRPr="00616E2B">
        <w:rPr>
          <w:rFonts w:ascii="Times New Roman" w:hAnsi="Times New Roman"/>
          <w:i/>
          <w:sz w:val="26"/>
          <w:szCs w:val="26"/>
        </w:rPr>
        <w:t>)</w:t>
      </w:r>
    </w:p>
    <w:p w:rsidR="00A93BBA" w:rsidRPr="001F5F8B" w:rsidRDefault="00A93BBA" w:rsidP="00A93BBA">
      <w:pPr>
        <w:pStyle w:val="a3"/>
        <w:widowControl/>
        <w:tabs>
          <w:tab w:val="left" w:pos="360"/>
        </w:tabs>
        <w:ind w:left="1080"/>
        <w:rPr>
          <w:rFonts w:ascii="Times New Roman" w:hAnsi="Times New Roman"/>
          <w:sz w:val="26"/>
          <w:szCs w:val="26"/>
        </w:rPr>
      </w:pPr>
    </w:p>
    <w:p w:rsidR="00A93BBA" w:rsidRPr="00F00714" w:rsidRDefault="00A93BBA" w:rsidP="0000090C">
      <w:pPr>
        <w:pStyle w:val="a3"/>
        <w:widowControl/>
        <w:tabs>
          <w:tab w:val="left" w:pos="360"/>
        </w:tabs>
        <w:ind w:left="1080"/>
        <w:rPr>
          <w:rFonts w:ascii="Times New Roman" w:hAnsi="Times New Roman"/>
          <w:sz w:val="26"/>
          <w:szCs w:val="26"/>
        </w:rPr>
      </w:pPr>
      <w:r w:rsidRPr="00F00714">
        <w:rPr>
          <w:rFonts w:ascii="Times New Roman" w:hAnsi="Times New Roman"/>
          <w:b/>
          <w:sz w:val="26"/>
          <w:szCs w:val="26"/>
        </w:rPr>
        <w:t xml:space="preserve">Сведения о </w:t>
      </w:r>
      <w:r>
        <w:rPr>
          <w:rFonts w:ascii="Times New Roman" w:hAnsi="Times New Roman"/>
          <w:b/>
          <w:sz w:val="26"/>
          <w:szCs w:val="26"/>
        </w:rPr>
        <w:t>руководителе научного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проекта</w:t>
      </w:r>
    </w:p>
    <w:p w:rsidR="00A93BBA" w:rsidRPr="00F00714" w:rsidRDefault="00A93BBA" w:rsidP="00A93BBA">
      <w:pPr>
        <w:pStyle w:val="a3"/>
        <w:widowControl/>
        <w:tabs>
          <w:tab w:val="left" w:pos="360"/>
        </w:tabs>
        <w:ind w:left="284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A93BBA" w:rsidRPr="00F00714" w:rsidTr="00BC67BF">
        <w:tc>
          <w:tcPr>
            <w:tcW w:w="3544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00714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5953" w:type="dxa"/>
          </w:tcPr>
          <w:p w:rsidR="00A93BBA" w:rsidRPr="00616E2B" w:rsidRDefault="00A93BBA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Коротаев Андрей Витальевич</w:t>
            </w:r>
          </w:p>
        </w:tc>
      </w:tr>
      <w:tr w:rsidR="00A93BBA" w:rsidRPr="00F00714" w:rsidTr="00BC67BF">
        <w:tc>
          <w:tcPr>
            <w:tcW w:w="3544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00714"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(рабочий</w:t>
            </w:r>
            <w:r w:rsidRPr="0032193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/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мобильный)</w:t>
            </w:r>
          </w:p>
        </w:tc>
        <w:tc>
          <w:tcPr>
            <w:tcW w:w="5953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+7 917 517 8034</w:t>
            </w:r>
          </w:p>
        </w:tc>
      </w:tr>
      <w:tr w:rsidR="00A93BBA" w:rsidRPr="00F00714" w:rsidTr="00BC67BF">
        <w:tc>
          <w:tcPr>
            <w:tcW w:w="3544" w:type="dxa"/>
          </w:tcPr>
          <w:p w:rsidR="00A93BBA" w:rsidRPr="00F00714" w:rsidRDefault="00A93BBA" w:rsidP="00BC67BF">
            <w:pPr>
              <w:pStyle w:val="a3"/>
              <w:widowControl/>
              <w:tabs>
                <w:tab w:val="left" w:pos="0"/>
              </w:tabs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00714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1930">
              <w:rPr>
                <w:rFonts w:ascii="Times New Roman" w:hAnsi="Times New Roman"/>
                <w:i/>
                <w:sz w:val="26"/>
                <w:szCs w:val="26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A93BBA" w:rsidRDefault="004D157E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8" w:history="1">
              <w:r w:rsidR="00A93BBA" w:rsidRPr="00B316C9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akorotayev@gmail.com</w:t>
              </w:r>
            </w:hyperlink>
            <w:r w:rsidR="00A93B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  <w:p w:rsidR="00A93BBA" w:rsidRPr="005C1F13" w:rsidRDefault="004D157E" w:rsidP="00BC67BF">
            <w:pPr>
              <w:pStyle w:val="a3"/>
              <w:widowControl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9" w:history="1">
              <w:r w:rsidR="00A93BBA" w:rsidRPr="00B316C9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akorotaev@hse.ru</w:t>
              </w:r>
            </w:hyperlink>
            <w:r w:rsidR="00A93B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A93BBA" w:rsidRDefault="00A93BBA" w:rsidP="00A93BBA">
      <w:pPr>
        <w:pStyle w:val="a3"/>
        <w:widowControl/>
        <w:rPr>
          <w:rFonts w:asciiTheme="minorHAnsi" w:hAnsiTheme="minorHAnsi"/>
          <w:sz w:val="26"/>
          <w:szCs w:val="26"/>
        </w:rPr>
      </w:pPr>
      <w:r w:rsidRPr="00F00714">
        <w:rPr>
          <w:sz w:val="26"/>
          <w:szCs w:val="26"/>
        </w:rPr>
        <w:t xml:space="preserve"> </w:t>
      </w:r>
    </w:p>
    <w:p w:rsidR="0000090C" w:rsidRDefault="0000090C" w:rsidP="00A93BBA">
      <w:pPr>
        <w:pStyle w:val="a3"/>
        <w:widowControl/>
        <w:rPr>
          <w:rFonts w:asciiTheme="minorHAnsi" w:hAnsiTheme="minorHAnsi"/>
          <w:sz w:val="26"/>
          <w:szCs w:val="26"/>
        </w:rPr>
      </w:pPr>
    </w:p>
    <w:p w:rsidR="0000090C" w:rsidRDefault="0000090C" w:rsidP="00A93BBA">
      <w:pPr>
        <w:pStyle w:val="a3"/>
        <w:widowControl/>
        <w:rPr>
          <w:rFonts w:asciiTheme="minorHAnsi" w:hAnsiTheme="minorHAnsi"/>
          <w:sz w:val="26"/>
          <w:szCs w:val="26"/>
        </w:rPr>
      </w:pPr>
    </w:p>
    <w:p w:rsidR="00A93BBA" w:rsidRPr="005E44CD" w:rsidRDefault="00A93BBA" w:rsidP="0000090C">
      <w:pPr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Краткая аннотация</w:t>
      </w:r>
      <w:r w:rsidR="0000090C">
        <w:rPr>
          <w:b/>
          <w:sz w:val="26"/>
          <w:szCs w:val="26"/>
        </w:rPr>
        <w:t xml:space="preserve"> научного проекта </w:t>
      </w:r>
    </w:p>
    <w:p w:rsidR="00A93BBA" w:rsidRPr="00616E2B" w:rsidRDefault="00A93BBA" w:rsidP="00A93BBA">
      <w:pPr>
        <w:pStyle w:val="a3"/>
        <w:widowControl/>
        <w:numPr>
          <w:ilvl w:val="0"/>
          <w:numId w:val="5"/>
        </w:numPr>
        <w:tabs>
          <w:tab w:val="left" w:pos="360"/>
        </w:tabs>
        <w:spacing w:before="120"/>
        <w:jc w:val="both"/>
        <w:rPr>
          <w:sz w:val="26"/>
          <w:szCs w:val="26"/>
        </w:rPr>
      </w:pPr>
      <w:r w:rsidRPr="001F5622">
        <w:rPr>
          <w:sz w:val="26"/>
          <w:szCs w:val="26"/>
        </w:rPr>
        <w:t>Актуальность</w:t>
      </w:r>
      <w:r w:rsidRPr="00616E2B">
        <w:rPr>
          <w:sz w:val="26"/>
          <w:szCs w:val="26"/>
        </w:rPr>
        <w:t xml:space="preserve"> научного </w:t>
      </w:r>
      <w:r w:rsidRPr="00CA39A7">
        <w:rPr>
          <w:sz w:val="26"/>
          <w:szCs w:val="26"/>
        </w:rPr>
        <w:t>исследования</w:t>
      </w:r>
      <w:r w:rsidRPr="00616E2B">
        <w:rPr>
          <w:sz w:val="26"/>
          <w:szCs w:val="26"/>
        </w:rPr>
        <w:t>:</w:t>
      </w:r>
    </w:p>
    <w:p w:rsidR="00A93BBA" w:rsidRPr="00D95BEF" w:rsidRDefault="00A93BBA" w:rsidP="0000090C">
      <w:pPr>
        <w:pStyle w:val="a3"/>
        <w:widowControl/>
        <w:tabs>
          <w:tab w:val="left" w:pos="360"/>
        </w:tabs>
        <w:spacing w:before="120"/>
        <w:jc w:val="both"/>
        <w:rPr>
          <w:sz w:val="24"/>
          <w:szCs w:val="24"/>
        </w:rPr>
      </w:pPr>
      <w:r w:rsidRPr="00D95BEF">
        <w:rPr>
          <w:sz w:val="24"/>
          <w:szCs w:val="24"/>
        </w:rPr>
        <w:t xml:space="preserve">Актуальность планируемого исследования тесно связана с </w:t>
      </w:r>
      <w:r>
        <w:rPr>
          <w:sz w:val="24"/>
          <w:szCs w:val="24"/>
        </w:rPr>
        <w:t xml:space="preserve">глобальным аспектом </w:t>
      </w:r>
      <w:r w:rsidRPr="00D95BEF">
        <w:rPr>
          <w:sz w:val="24"/>
          <w:szCs w:val="24"/>
        </w:rPr>
        <w:t>социально-политических процессов, проис</w:t>
      </w:r>
      <w:r>
        <w:rPr>
          <w:sz w:val="24"/>
          <w:szCs w:val="24"/>
        </w:rPr>
        <w:t>ходящих в «</w:t>
      </w:r>
      <w:proofErr w:type="spellStart"/>
      <w:r>
        <w:rPr>
          <w:sz w:val="24"/>
          <w:szCs w:val="24"/>
        </w:rPr>
        <w:t>афразийском</w:t>
      </w:r>
      <w:proofErr w:type="spellEnd"/>
      <w:r>
        <w:rPr>
          <w:sz w:val="24"/>
          <w:szCs w:val="24"/>
        </w:rPr>
        <w:t>» регионе. Исследования, проведенные в рамках проектов предыдущих лет позволили  выдвинуть рабочую гипотезу о том, что события 2011</w:t>
      </w:r>
      <w:r w:rsidRPr="00777D92">
        <w:rPr>
          <w:rFonts w:ascii="Cambria" w:hAnsi="Cambria"/>
          <w:sz w:val="24"/>
          <w:szCs w:val="24"/>
        </w:rPr>
        <w:t>–</w:t>
      </w:r>
      <w:r>
        <w:rPr>
          <w:sz w:val="24"/>
          <w:szCs w:val="24"/>
        </w:rPr>
        <w:t xml:space="preserve">2012 годов выступили в качестве триггера фазового перехода глобальной </w:t>
      </w:r>
      <w:proofErr w:type="spellStart"/>
      <w:r>
        <w:rPr>
          <w:sz w:val="24"/>
          <w:szCs w:val="24"/>
        </w:rPr>
        <w:t>дестабилизационной</w:t>
      </w:r>
      <w:proofErr w:type="spellEnd"/>
      <w:r>
        <w:rPr>
          <w:sz w:val="24"/>
          <w:szCs w:val="24"/>
        </w:rPr>
        <w:t xml:space="preserve"> активности, сопоставимого по своей интенсивности и значимости с глобальным фазовым переходом 1960-х годов. </w:t>
      </w:r>
      <w:r w:rsidRPr="00D95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Исследование данного фазового перехода в странах Ближнего и Среднего Востока может существенно улучшить достоверность прогнозов глобальной динамики социально-политической дестабилизации. </w:t>
      </w:r>
    </w:p>
    <w:p w:rsidR="00A93BBA" w:rsidRPr="00616E2B" w:rsidRDefault="00A93BBA" w:rsidP="00A93BBA">
      <w:pPr>
        <w:pStyle w:val="a3"/>
        <w:widowControl/>
        <w:tabs>
          <w:tab w:val="left" w:pos="360"/>
        </w:tabs>
        <w:spacing w:before="120"/>
        <w:ind w:left="1077"/>
        <w:jc w:val="both"/>
        <w:rPr>
          <w:sz w:val="26"/>
          <w:szCs w:val="26"/>
        </w:rPr>
      </w:pPr>
    </w:p>
    <w:p w:rsidR="00A93BBA" w:rsidRPr="001D4438" w:rsidRDefault="00A93BBA" w:rsidP="00A93BBA">
      <w:pPr>
        <w:pStyle w:val="a3"/>
        <w:widowControl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Calibri" w:hAnsi="Calibri"/>
          <w:sz w:val="26"/>
          <w:szCs w:val="26"/>
        </w:rPr>
      </w:pPr>
      <w:r w:rsidRPr="001D4438">
        <w:rPr>
          <w:sz w:val="26"/>
          <w:szCs w:val="26"/>
        </w:rPr>
        <w:t>Цел</w:t>
      </w:r>
      <w:r w:rsidRPr="001D4438">
        <w:rPr>
          <w:rFonts w:ascii="Times New Roman" w:hAnsi="Times New Roman"/>
          <w:sz w:val="26"/>
          <w:szCs w:val="26"/>
        </w:rPr>
        <w:t>ь научного ис</w:t>
      </w:r>
      <w:r w:rsidRPr="001D4438">
        <w:rPr>
          <w:sz w:val="26"/>
          <w:szCs w:val="26"/>
        </w:rPr>
        <w:t>следования</w:t>
      </w:r>
      <w:r w:rsidRPr="001D4438">
        <w:rPr>
          <w:rFonts w:ascii="Calibri" w:hAnsi="Calibri"/>
          <w:sz w:val="26"/>
          <w:szCs w:val="26"/>
        </w:rPr>
        <w:t>:</w:t>
      </w:r>
    </w:p>
    <w:p w:rsidR="00A93BBA" w:rsidRPr="001D4438" w:rsidRDefault="00A93BBA" w:rsidP="00A93BBA">
      <w:pPr>
        <w:pStyle w:val="a3"/>
        <w:widowControl/>
        <w:tabs>
          <w:tab w:val="left" w:pos="360"/>
        </w:tabs>
        <w:spacing w:before="120"/>
        <w:jc w:val="both"/>
        <w:rPr>
          <w:sz w:val="24"/>
          <w:szCs w:val="24"/>
        </w:rPr>
      </w:pPr>
      <w:r w:rsidRPr="001D4438">
        <w:rPr>
          <w:rFonts w:hint="eastAsia"/>
          <w:sz w:val="24"/>
          <w:szCs w:val="24"/>
        </w:rPr>
        <w:t>в</w:t>
      </w:r>
      <w:r w:rsidRPr="001D4438">
        <w:rPr>
          <w:sz w:val="24"/>
          <w:szCs w:val="24"/>
        </w:rPr>
        <w:t>ыявление основных характеристик трансформации динамики социально-политической дестабилизации в пе</w:t>
      </w:r>
      <w:r w:rsidR="0000090C">
        <w:rPr>
          <w:sz w:val="24"/>
          <w:szCs w:val="24"/>
        </w:rPr>
        <w:t>риод 20</w:t>
      </w:r>
      <w:r w:rsidR="0000090C">
        <w:rPr>
          <w:rFonts w:asciiTheme="minorHAnsi" w:hAnsiTheme="minorHAnsi"/>
          <w:sz w:val="24"/>
          <w:szCs w:val="24"/>
        </w:rPr>
        <w:t>11</w:t>
      </w:r>
      <w:r w:rsidR="0000090C">
        <w:rPr>
          <w:sz w:val="24"/>
          <w:szCs w:val="24"/>
        </w:rPr>
        <w:t>-201</w:t>
      </w:r>
      <w:r w:rsidR="0000090C">
        <w:rPr>
          <w:rFonts w:asciiTheme="minorHAnsi" w:hAnsiTheme="minorHAnsi"/>
          <w:sz w:val="24"/>
          <w:szCs w:val="24"/>
        </w:rPr>
        <w:t>6</w:t>
      </w:r>
      <w:r>
        <w:rPr>
          <w:sz w:val="24"/>
          <w:szCs w:val="24"/>
        </w:rPr>
        <w:t xml:space="preserve"> годов, как в м</w:t>
      </w:r>
      <w:r w:rsidRPr="001D4438">
        <w:rPr>
          <w:sz w:val="24"/>
          <w:szCs w:val="24"/>
        </w:rPr>
        <w:t>ир-системном масштабе в целом, так и в особенности применительн</w:t>
      </w:r>
      <w:r w:rsidRPr="001D4438">
        <w:rPr>
          <w:rFonts w:hint="eastAsia"/>
          <w:sz w:val="24"/>
          <w:szCs w:val="24"/>
        </w:rPr>
        <w:t>о</w:t>
      </w:r>
      <w:r w:rsidRPr="001D4438">
        <w:rPr>
          <w:sz w:val="24"/>
          <w:szCs w:val="24"/>
        </w:rPr>
        <w:t xml:space="preserve"> к региону Ближнего и Среднего Востока, последующая разработка практических рекомендаций по преодолению или </w:t>
      </w:r>
      <w:proofErr w:type="spellStart"/>
      <w:r w:rsidRPr="001D4438">
        <w:rPr>
          <w:sz w:val="24"/>
          <w:szCs w:val="24"/>
        </w:rPr>
        <w:t>избежанию</w:t>
      </w:r>
      <w:proofErr w:type="spellEnd"/>
      <w:r w:rsidRPr="001D4438">
        <w:rPr>
          <w:sz w:val="24"/>
          <w:szCs w:val="24"/>
        </w:rPr>
        <w:t xml:space="preserve"> социально-политической нестабильности, а также по действию российских органов государственной власти и российских организаций в условиях потенциальной дестабилизации.</w:t>
      </w:r>
    </w:p>
    <w:p w:rsidR="00A93BBA" w:rsidRPr="001D4438" w:rsidRDefault="00A93BBA" w:rsidP="00A93BBA">
      <w:pPr>
        <w:pStyle w:val="a3"/>
        <w:widowControl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1D4438">
        <w:rPr>
          <w:rFonts w:ascii="Times New Roman" w:hAnsi="Times New Roman"/>
          <w:sz w:val="26"/>
          <w:szCs w:val="26"/>
        </w:rPr>
        <w:t>Задачи научного исследования</w:t>
      </w:r>
      <w:r w:rsidRPr="001D4438">
        <w:rPr>
          <w:rFonts w:ascii="Calibri" w:hAnsi="Calibri"/>
          <w:sz w:val="26"/>
          <w:szCs w:val="26"/>
        </w:rPr>
        <w:t>:</w:t>
      </w:r>
    </w:p>
    <w:p w:rsidR="00A93BBA" w:rsidRPr="001D4438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 выявить общие тенденци</w:t>
      </w:r>
      <w:r w:rsidRPr="00777D92">
        <w:rPr>
          <w:rFonts w:ascii="Cambria" w:hAnsi="Cambria"/>
          <w:sz w:val="24"/>
          <w:szCs w:val="24"/>
        </w:rPr>
        <w:t>и</w:t>
      </w:r>
      <w:r w:rsidRPr="001D4438">
        <w:rPr>
          <w:sz w:val="24"/>
          <w:szCs w:val="24"/>
        </w:rPr>
        <w:t xml:space="preserve"> динамики интегральных составляющих показателей социально-показателей дестабилизации (антиправительственные демонстрации, за</w:t>
      </w:r>
      <w:r>
        <w:rPr>
          <w:sz w:val="24"/>
          <w:szCs w:val="24"/>
        </w:rPr>
        <w:t>бастовки, беспорядки и т.д.) в м</w:t>
      </w:r>
      <w:r w:rsidRPr="001D4438">
        <w:rPr>
          <w:sz w:val="24"/>
          <w:szCs w:val="24"/>
        </w:rPr>
        <w:t>ир-системно</w:t>
      </w:r>
      <w:r w:rsidR="0000090C">
        <w:rPr>
          <w:sz w:val="24"/>
          <w:szCs w:val="24"/>
        </w:rPr>
        <w:t>м масштабе для периода 2000-201</w:t>
      </w:r>
      <w:r w:rsidR="0000090C">
        <w:rPr>
          <w:rFonts w:asciiTheme="minorHAnsi" w:hAnsiTheme="minorHAnsi"/>
          <w:sz w:val="24"/>
          <w:szCs w:val="24"/>
        </w:rPr>
        <w:t>6</w:t>
      </w:r>
      <w:r w:rsidRPr="001D4438">
        <w:rPr>
          <w:sz w:val="24"/>
          <w:szCs w:val="24"/>
        </w:rPr>
        <w:t xml:space="preserve"> гг.; </w:t>
      </w:r>
    </w:p>
    <w:p w:rsidR="00A93BBA" w:rsidRPr="00D95BEF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 w:rsidRPr="001D4438">
        <w:rPr>
          <w:sz w:val="24"/>
          <w:szCs w:val="24"/>
        </w:rPr>
        <w:t>- выявить общие тенденции динамики интегральных составляющих показателей социально-показателей дестабилизации (антиправительственные</w:t>
      </w:r>
      <w:r>
        <w:rPr>
          <w:sz w:val="24"/>
          <w:szCs w:val="24"/>
        </w:rPr>
        <w:t xml:space="preserve"> демонстрации, забастовки, беспорядки и т.д.) в регионе Ближнего и Среднего Востока для периода 2000-</w:t>
      </w:r>
      <w:r w:rsidR="0000090C">
        <w:rPr>
          <w:sz w:val="24"/>
          <w:szCs w:val="24"/>
        </w:rPr>
        <w:t>201</w:t>
      </w:r>
      <w:r w:rsidR="0000090C">
        <w:rPr>
          <w:rFonts w:asciiTheme="minorHAnsi" w:hAnsiTheme="minorHAnsi"/>
          <w:sz w:val="24"/>
          <w:szCs w:val="24"/>
        </w:rPr>
        <w:t>6</w:t>
      </w:r>
      <w:r>
        <w:rPr>
          <w:sz w:val="24"/>
          <w:szCs w:val="24"/>
        </w:rPr>
        <w:t xml:space="preserve"> гг.</w:t>
      </w:r>
      <w:r w:rsidRPr="00D95BEF">
        <w:rPr>
          <w:sz w:val="24"/>
          <w:szCs w:val="24"/>
        </w:rPr>
        <w:t xml:space="preserve">; </w:t>
      </w:r>
    </w:p>
    <w:p w:rsidR="00A93BBA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 w:rsidRPr="00D95BEF">
        <w:rPr>
          <w:sz w:val="24"/>
          <w:szCs w:val="24"/>
        </w:rPr>
        <w:lastRenderedPageBreak/>
        <w:t>- </w:t>
      </w:r>
      <w:r>
        <w:rPr>
          <w:sz w:val="24"/>
          <w:szCs w:val="24"/>
        </w:rPr>
        <w:t>установить влияние типа режима на динамику социально-политической дестабилизации для периодов до конца Холодной войны, между концом Холодной войны и 201</w:t>
      </w:r>
      <w:r w:rsidRPr="00777D92">
        <w:rPr>
          <w:rFonts w:ascii="Cambria" w:hAnsi="Cambria"/>
          <w:sz w:val="24"/>
          <w:szCs w:val="24"/>
        </w:rPr>
        <w:t>0</w:t>
      </w:r>
      <w:r>
        <w:rPr>
          <w:sz w:val="24"/>
          <w:szCs w:val="24"/>
        </w:rPr>
        <w:t xml:space="preserve"> годом и для периода Арабской весны</w:t>
      </w:r>
      <w:r w:rsidRPr="00D95BEF">
        <w:rPr>
          <w:sz w:val="24"/>
          <w:szCs w:val="24"/>
        </w:rPr>
        <w:t>;</w:t>
      </w:r>
    </w:p>
    <w:p w:rsidR="00A93BBA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выявить тенденции динамики беспорядков и антиправительственных демонстраций в мир-системном масштабе;</w:t>
      </w:r>
    </w:p>
    <w:p w:rsidR="00A93BBA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выявить возможные тенденции и механизмы влияния событий Арабской весны на процессы социально-политической дестабилизации в мир-системном масштабе; </w:t>
      </w:r>
    </w:p>
    <w:p w:rsidR="00A93BBA" w:rsidRPr="00D95BEF" w:rsidRDefault="00A93BBA" w:rsidP="00A93BBA">
      <w:pPr>
        <w:pStyle w:val="a3"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выявить причины изменения параметров влияния типа режима на динамику социально-политической дестабилизации;</w:t>
      </w:r>
    </w:p>
    <w:p w:rsidR="00A93BBA" w:rsidRPr="00D95BEF" w:rsidRDefault="00A93BBA" w:rsidP="00A93BBA">
      <w:pPr>
        <w:pStyle w:val="a3"/>
        <w:widowControl/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обоснованные прогнозы</w:t>
      </w:r>
      <w:r w:rsidRPr="00D95BEF">
        <w:rPr>
          <w:sz w:val="24"/>
          <w:szCs w:val="24"/>
        </w:rPr>
        <w:t xml:space="preserve"> относительно дальнейших трендов развития и перспектив сохранения социально-политической стабильности для стран макрорегиона.</w:t>
      </w:r>
    </w:p>
    <w:p w:rsidR="0000090C" w:rsidRDefault="0000090C" w:rsidP="0000090C">
      <w:pPr>
        <w:spacing w:before="60"/>
        <w:jc w:val="both"/>
        <w:rPr>
          <w:b/>
          <w:bCs/>
          <w:sz w:val="26"/>
          <w:szCs w:val="26"/>
        </w:rPr>
      </w:pPr>
    </w:p>
    <w:p w:rsidR="00A93BBA" w:rsidRPr="00BD6412" w:rsidRDefault="00A93BBA" w:rsidP="0000090C">
      <w:pPr>
        <w:spacing w:before="60"/>
        <w:jc w:val="both"/>
        <w:rPr>
          <w:b/>
          <w:bCs/>
          <w:sz w:val="26"/>
          <w:szCs w:val="26"/>
        </w:rPr>
      </w:pPr>
      <w:r w:rsidRPr="00D87966">
        <w:rPr>
          <w:b/>
          <w:bCs/>
          <w:sz w:val="26"/>
          <w:szCs w:val="26"/>
        </w:rPr>
        <w:t xml:space="preserve">Методология </w:t>
      </w:r>
      <w:r>
        <w:rPr>
          <w:b/>
          <w:bCs/>
          <w:sz w:val="26"/>
          <w:szCs w:val="26"/>
        </w:rPr>
        <w:t xml:space="preserve">научного </w:t>
      </w:r>
      <w:r w:rsidRPr="00D87966">
        <w:rPr>
          <w:b/>
          <w:bCs/>
          <w:sz w:val="26"/>
          <w:szCs w:val="26"/>
        </w:rPr>
        <w:t>ис</w:t>
      </w:r>
      <w:r>
        <w:rPr>
          <w:b/>
          <w:bCs/>
          <w:sz w:val="26"/>
          <w:szCs w:val="26"/>
        </w:rPr>
        <w:t>следования</w:t>
      </w:r>
    </w:p>
    <w:p w:rsidR="00A93BBA" w:rsidRPr="00AF7BF2" w:rsidRDefault="00A93BBA" w:rsidP="00A93BBA">
      <w:pPr>
        <w:spacing w:before="60"/>
        <w:ind w:firstLine="708"/>
        <w:jc w:val="both"/>
        <w:rPr>
          <w:bCs/>
        </w:rPr>
      </w:pPr>
      <w:r w:rsidRPr="00AF7BF2">
        <w:rPr>
          <w:bCs/>
        </w:rPr>
        <w:t>В основу проекта положен структурно-функциональный подход (предполагающий рассмотрение сферы политического как целостной системы, обладающей сложной структурой, каждый элемент которой имеет определенное назначение и выполняет специфические функции, направленные на удовлетворение соответствующих потребностей системы и ее ожиданий), позволяющий прогнозировать посткризисные социально-политические трансформации.</w:t>
      </w:r>
    </w:p>
    <w:p w:rsidR="00A93BBA" w:rsidRPr="00AF7BF2" w:rsidRDefault="00A93BBA" w:rsidP="00A93BBA">
      <w:pPr>
        <w:spacing w:before="60"/>
        <w:ind w:firstLine="708"/>
        <w:jc w:val="both"/>
        <w:rPr>
          <w:bCs/>
        </w:rPr>
      </w:pPr>
      <w:r w:rsidRPr="00AF7BF2">
        <w:rPr>
          <w:bCs/>
        </w:rPr>
        <w:t>Основным методом исследования является системный метод, основанный на современной теории политических систем. К</w:t>
      </w:r>
      <w:r>
        <w:rPr>
          <w:bCs/>
        </w:rPr>
        <w:t xml:space="preserve">роме того, в исследовании </w:t>
      </w:r>
      <w:r w:rsidRPr="00AF7BF2">
        <w:rPr>
          <w:bCs/>
        </w:rPr>
        <w:t xml:space="preserve">будут использованы ситуационный анализ, методы политической социологии, а также существенные элементы политико-исторического и политико-философского подходов. </w:t>
      </w:r>
    </w:p>
    <w:p w:rsidR="00A93BBA" w:rsidRPr="00AF7BF2" w:rsidRDefault="00A93BBA" w:rsidP="00A93BBA">
      <w:pPr>
        <w:spacing w:before="60"/>
        <w:ind w:firstLine="708"/>
        <w:jc w:val="both"/>
        <w:rPr>
          <w:bCs/>
        </w:rPr>
      </w:pPr>
      <w:r w:rsidRPr="00AF7BF2">
        <w:rPr>
          <w:bCs/>
        </w:rPr>
        <w:t>Планируется использовать следующие методы:</w:t>
      </w:r>
    </w:p>
    <w:p w:rsidR="00A93BBA" w:rsidRPr="00AF7BF2" w:rsidRDefault="00A93BBA" w:rsidP="00A93BBA">
      <w:pPr>
        <w:spacing w:before="60"/>
        <w:jc w:val="both"/>
        <w:rPr>
          <w:bCs/>
        </w:rPr>
      </w:pPr>
      <w:r w:rsidRPr="00AF7BF2">
        <w:rPr>
          <w:bCs/>
        </w:rPr>
        <w:t>1. Для анализа политической ситуации в конкретных случаях будет применяться ресурсно-</w:t>
      </w:r>
      <w:proofErr w:type="spellStart"/>
      <w:r w:rsidRPr="00AF7BF2">
        <w:rPr>
          <w:bCs/>
        </w:rPr>
        <w:t>акторный</w:t>
      </w:r>
      <w:proofErr w:type="spellEnd"/>
      <w:r w:rsidRPr="00AF7BF2">
        <w:rPr>
          <w:bCs/>
        </w:rPr>
        <w:t xml:space="preserve"> подход, который предполагает, что основная политическая борьба ведется за перераспределение различных видов ресурсов - экономических (принадлежность частей экономики той или иной стороне), политических (права по конституции, идеология, вооруженные силы) и социальных (электоральная поддержка). В ходе предварительных исследований на этой основе была выявлена парадоксальная динамика зависимости уровня политической напряженности в социальных системах от ресурсной базы сообщества, согласующаяся с данными кросс-национальных исследований.</w:t>
      </w:r>
    </w:p>
    <w:p w:rsidR="00A93BBA" w:rsidRPr="00AF7BF2" w:rsidRDefault="00A93BBA" w:rsidP="00A93BBA">
      <w:pPr>
        <w:spacing w:before="60"/>
        <w:jc w:val="both"/>
        <w:rPr>
          <w:bCs/>
        </w:rPr>
      </w:pPr>
      <w:r w:rsidRPr="00AF7BF2">
        <w:rPr>
          <w:bCs/>
        </w:rPr>
        <w:t xml:space="preserve">2. Предполагается проведение статистического тестирования гипотез о влиянии социально-экономических, демографических, технологических и </w:t>
      </w:r>
      <w:proofErr w:type="spellStart"/>
      <w:r w:rsidRPr="00AF7BF2">
        <w:rPr>
          <w:bCs/>
        </w:rPr>
        <w:t>социопсихологических</w:t>
      </w:r>
      <w:proofErr w:type="spellEnd"/>
      <w:r w:rsidRPr="00AF7BF2">
        <w:rPr>
          <w:bCs/>
        </w:rPr>
        <w:t xml:space="preserve"> факторов на политическую динамику. Поиск взаимосвязей между распределением и динамикой различных рядов статистических данных будет вестись при помощи следующих методов: корреляционный анализ, регрессионный анализ, дискриминантный анализ. Выделение геополитических кластеров стран будет производиться при помощи кластерного анализа (с использованием как иерархического кластерного анализа, так и метода К-средних). В процессе изучения временной динамики социальных систем будут применяться методы анализа временных рядов, такие как оценки кривой, анализ временных автокорреляций, выделение трендов и циклических составляющих. Для выявления взаимосвязей между индикаторами социально-политического развития и построения сетей будет использоваться метод сетевого анализа данных.</w:t>
      </w:r>
    </w:p>
    <w:p w:rsidR="002C5523" w:rsidRPr="002A04B4" w:rsidRDefault="00A93BBA" w:rsidP="002C5523">
      <w:pPr>
        <w:spacing w:before="60"/>
        <w:jc w:val="both"/>
        <w:rPr>
          <w:bCs/>
        </w:rPr>
      </w:pPr>
      <w:r w:rsidRPr="00AF7BF2">
        <w:rPr>
          <w:bCs/>
        </w:rPr>
        <w:t>3. Сравнительный и типологический (особенности арабской модели социа</w:t>
      </w:r>
      <w:r w:rsidR="002C5523">
        <w:rPr>
          <w:bCs/>
        </w:rPr>
        <w:t>льно-политической модернизации)</w:t>
      </w:r>
      <w:r w:rsidR="002C5523" w:rsidRPr="002A04B4">
        <w:rPr>
          <w:bCs/>
        </w:rPr>
        <w:t>.</w:t>
      </w:r>
      <w:r w:rsidR="002C5523" w:rsidRPr="00AF7BF2">
        <w:rPr>
          <w:bCs/>
        </w:rPr>
        <w:t xml:space="preserve"> </w:t>
      </w:r>
    </w:p>
    <w:p w:rsidR="00A93BBA" w:rsidRPr="00AF7BF2" w:rsidRDefault="00A93BBA" w:rsidP="002C5523">
      <w:pPr>
        <w:spacing w:before="60"/>
        <w:jc w:val="both"/>
        <w:rPr>
          <w:bCs/>
        </w:rPr>
      </w:pPr>
      <w:r w:rsidRPr="00AF7BF2">
        <w:rPr>
          <w:bCs/>
        </w:rPr>
        <w:lastRenderedPageBreak/>
        <w:t>4. Критический дискурс-анализ (осмысление целей и реальных приоритетов политики арабских стран);</w:t>
      </w:r>
    </w:p>
    <w:p w:rsidR="00A93BBA" w:rsidRPr="00AF7BF2" w:rsidRDefault="00A93BBA" w:rsidP="00A93BBA">
      <w:pPr>
        <w:spacing w:before="60"/>
        <w:jc w:val="both"/>
        <w:rPr>
          <w:bCs/>
        </w:rPr>
      </w:pPr>
      <w:r w:rsidRPr="00AF7BF2">
        <w:rPr>
          <w:bCs/>
        </w:rPr>
        <w:t>5. Метод полевых наблюдений и интервью (он должен помочь оценить и проанализировать предполагаемые сценарии посткризисного развития экспертным сообществом и лицами, ответственными за принятие решений в арабских странах);</w:t>
      </w:r>
    </w:p>
    <w:p w:rsidR="00A93BBA" w:rsidRPr="00AF7BF2" w:rsidRDefault="00A93BBA" w:rsidP="00A93BBA">
      <w:pPr>
        <w:spacing w:before="60"/>
        <w:jc w:val="both"/>
        <w:rPr>
          <w:b/>
          <w:bCs/>
        </w:rPr>
      </w:pPr>
      <w:r w:rsidRPr="00AF7BF2">
        <w:rPr>
          <w:bCs/>
        </w:rPr>
        <w:t>6. Метод прогнозирования  (определение перспектив посткризисного развития арабских социально-политических систем).</w:t>
      </w:r>
    </w:p>
    <w:p w:rsidR="00A93BBA" w:rsidRPr="00BD6412" w:rsidRDefault="00A93BBA" w:rsidP="00A93BBA">
      <w:pPr>
        <w:spacing w:before="60"/>
        <w:ind w:left="750"/>
        <w:jc w:val="both"/>
        <w:rPr>
          <w:b/>
          <w:bCs/>
          <w:sz w:val="26"/>
          <w:szCs w:val="26"/>
        </w:rPr>
      </w:pPr>
    </w:p>
    <w:p w:rsidR="00A93BBA" w:rsidRPr="003B7E3A" w:rsidRDefault="00A93BBA" w:rsidP="0000090C">
      <w:pPr>
        <w:pStyle w:val="a3"/>
        <w:widowControl/>
        <w:tabs>
          <w:tab w:val="left" w:pos="360"/>
        </w:tabs>
        <w:spacing w:before="60"/>
        <w:jc w:val="both"/>
        <w:rPr>
          <w:rFonts w:ascii="Times New Roman" w:hAnsi="Times New Roman"/>
          <w:b/>
          <w:sz w:val="26"/>
          <w:szCs w:val="26"/>
        </w:rPr>
      </w:pPr>
      <w:r w:rsidRPr="003B7E3A">
        <w:rPr>
          <w:rFonts w:ascii="Times New Roman" w:hAnsi="Times New Roman"/>
          <w:b/>
          <w:sz w:val="26"/>
          <w:szCs w:val="26"/>
        </w:rPr>
        <w:t>Предполагаемые результаты научного исследования:</w:t>
      </w:r>
    </w:p>
    <w:p w:rsidR="00A93BBA" w:rsidRDefault="00A93BBA" w:rsidP="00A93BBA">
      <w:pPr>
        <w:pStyle w:val="a3"/>
        <w:widowControl/>
        <w:tabs>
          <w:tab w:val="left" w:pos="360"/>
        </w:tabs>
        <w:spacing w:before="60"/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A93BBA" w:rsidRPr="00F04806" w:rsidRDefault="00A93BBA" w:rsidP="00A93BBA">
      <w:pPr>
        <w:pStyle w:val="a3"/>
        <w:widowControl/>
        <w:numPr>
          <w:ilvl w:val="0"/>
          <w:numId w:val="3"/>
        </w:numPr>
        <w:tabs>
          <w:tab w:val="left" w:pos="360"/>
        </w:tabs>
        <w:spacing w:before="60" w:after="60"/>
        <w:ind w:left="993" w:hanging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области теории:</w:t>
      </w:r>
    </w:p>
    <w:p w:rsidR="00A93BBA" w:rsidRPr="00DC0DD6" w:rsidRDefault="00A93BBA" w:rsidP="00A93BBA">
      <w:pPr>
        <w:rPr>
          <w:rFonts w:ascii="Times" w:hAnsi="Times"/>
          <w:sz w:val="20"/>
          <w:szCs w:val="20"/>
        </w:rPr>
      </w:pPr>
      <w:r>
        <w:rPr>
          <w:sz w:val="26"/>
          <w:szCs w:val="26"/>
        </w:rPr>
        <w:t xml:space="preserve">Предполагается существенное развитие теории влияния типов политических режимов на процессы социально-политической дестабилизации. Идея об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-образной зависимости между типом политических режимов и их стабильностью была выдвинута еще в 1974 году американским политологом Тедом Робертом </w:t>
      </w:r>
      <w:proofErr w:type="spellStart"/>
      <w:r>
        <w:rPr>
          <w:sz w:val="26"/>
          <w:szCs w:val="26"/>
        </w:rPr>
        <w:t>Гурром</w:t>
      </w:r>
      <w:proofErr w:type="spellEnd"/>
      <w:r>
        <w:rPr>
          <w:sz w:val="26"/>
          <w:szCs w:val="26"/>
        </w:rPr>
        <w:t>. После этого данная гипотеза была неоднократно протестирована (</w:t>
      </w:r>
      <w:proofErr w:type="spellStart"/>
      <w:r>
        <w:rPr>
          <w:sz w:val="26"/>
          <w:szCs w:val="26"/>
        </w:rPr>
        <w:t>Hegre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</w:t>
      </w:r>
      <w:proofErr w:type="spellEnd"/>
      <w:r w:rsidRPr="00DC0DD6">
        <w:rPr>
          <w:sz w:val="26"/>
          <w:szCs w:val="26"/>
        </w:rPr>
        <w:t xml:space="preserve"> 2001</w:t>
      </w:r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Fearon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Laitin</w:t>
      </w:r>
      <w:proofErr w:type="spellEnd"/>
      <w:r w:rsidRPr="00DC0DD6">
        <w:rPr>
          <w:sz w:val="26"/>
          <w:szCs w:val="26"/>
        </w:rPr>
        <w:t xml:space="preserve"> 2003</w:t>
      </w:r>
      <w:r>
        <w:rPr>
          <w:sz w:val="26"/>
          <w:szCs w:val="26"/>
        </w:rPr>
        <w:t xml:space="preserve">; </w:t>
      </w:r>
      <w:proofErr w:type="spellStart"/>
      <w:r w:rsidRPr="00DC0DD6">
        <w:rPr>
          <w:sz w:val="26"/>
          <w:szCs w:val="26"/>
        </w:rPr>
        <w:t>Francisco</w:t>
      </w:r>
      <w:proofErr w:type="spellEnd"/>
      <w:r w:rsidRPr="00DC0DD6">
        <w:rPr>
          <w:sz w:val="26"/>
          <w:szCs w:val="26"/>
        </w:rPr>
        <w:t xml:space="preserve"> 1995; </w:t>
      </w:r>
      <w:proofErr w:type="spellStart"/>
      <w:r w:rsidRPr="00DC0DD6">
        <w:rPr>
          <w:sz w:val="26"/>
          <w:szCs w:val="26"/>
        </w:rPr>
        <w:t>Muller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and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Weede</w:t>
      </w:r>
      <w:proofErr w:type="spellEnd"/>
      <w:r w:rsidRPr="00DC0DD6">
        <w:rPr>
          <w:sz w:val="26"/>
          <w:szCs w:val="26"/>
        </w:rPr>
        <w:t xml:space="preserve"> 1990, </w:t>
      </w:r>
      <w:proofErr w:type="spellStart"/>
      <w:r w:rsidRPr="00DC0DD6">
        <w:rPr>
          <w:sz w:val="26"/>
          <w:szCs w:val="26"/>
        </w:rPr>
        <w:t>Ellingsen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and</w:t>
      </w:r>
      <w:proofErr w:type="spellEnd"/>
      <w:r w:rsidRPr="00DC0DD6">
        <w:rPr>
          <w:sz w:val="26"/>
          <w:szCs w:val="26"/>
        </w:rPr>
        <w:t xml:space="preserve"> </w:t>
      </w:r>
      <w:proofErr w:type="spellStart"/>
      <w:r w:rsidRPr="00DC0DD6">
        <w:rPr>
          <w:sz w:val="26"/>
          <w:szCs w:val="26"/>
        </w:rPr>
        <w:t>Gleditsch</w:t>
      </w:r>
      <w:proofErr w:type="spellEnd"/>
      <w:r w:rsidRPr="00DC0DD6">
        <w:rPr>
          <w:sz w:val="26"/>
          <w:szCs w:val="26"/>
        </w:rPr>
        <w:t xml:space="preserve"> 1997</w:t>
      </w:r>
      <w:r>
        <w:rPr>
          <w:sz w:val="26"/>
          <w:szCs w:val="26"/>
        </w:rPr>
        <w:t xml:space="preserve">). Проведенное нами пилотажное исследование показало перспективность раздельного изучения характера данной зависимости в различные периоды новейшей истории: до конца Холодной войны, между концом Холодной войны и началом Арабской весны, после Арабской весны. Планируемое исследование может позволить существенно уточнить теорию </w:t>
      </w:r>
      <w:r>
        <w:rPr>
          <w:sz w:val="26"/>
          <w:szCs w:val="26"/>
          <w:lang w:val="en-US"/>
        </w:rPr>
        <w:t>U-</w:t>
      </w:r>
      <w:r>
        <w:rPr>
          <w:sz w:val="26"/>
          <w:szCs w:val="26"/>
        </w:rPr>
        <w:t xml:space="preserve">образной зависимости, а также значительно повысить ее практическую применимость.  </w:t>
      </w:r>
    </w:p>
    <w:p w:rsidR="00A93BBA" w:rsidRPr="00E93B1A" w:rsidRDefault="00A93BBA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</w:p>
    <w:p w:rsidR="00A93BBA" w:rsidRDefault="00A93BBA" w:rsidP="00A93BBA">
      <w:pPr>
        <w:pStyle w:val="a3"/>
        <w:widowControl/>
        <w:numPr>
          <w:ilvl w:val="0"/>
          <w:numId w:val="4"/>
        </w:numPr>
        <w:tabs>
          <w:tab w:val="left" w:pos="360"/>
        </w:tabs>
        <w:spacing w:before="60" w:after="60"/>
        <w:ind w:left="993" w:hanging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развитии методологии:</w:t>
      </w:r>
    </w:p>
    <w:p w:rsidR="00A93BBA" w:rsidRDefault="00A93BBA" w:rsidP="0000090C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изучении Арабской весны как фазового перехода предполагается применение разработанной Д. </w:t>
      </w:r>
      <w:proofErr w:type="spellStart"/>
      <w:r>
        <w:rPr>
          <w:rFonts w:ascii="Times New Roman" w:hAnsi="Times New Roman"/>
          <w:sz w:val="26"/>
          <w:szCs w:val="26"/>
        </w:rPr>
        <w:t>Сорнетом</w:t>
      </w:r>
      <w:proofErr w:type="spellEnd"/>
      <w:r>
        <w:rPr>
          <w:rFonts w:ascii="Times New Roman" w:hAnsi="Times New Roman"/>
          <w:sz w:val="26"/>
          <w:szCs w:val="26"/>
        </w:rPr>
        <w:t xml:space="preserve"> методологии исследования супер-критических явлений (т.н. </w:t>
      </w:r>
      <w:proofErr w:type="gramStart"/>
      <w:r w:rsidRPr="00D039B3">
        <w:rPr>
          <w:rFonts w:ascii="Times New Roman" w:hAnsi="Times New Roman"/>
          <w:i/>
          <w:sz w:val="26"/>
          <w:szCs w:val="26"/>
          <w:lang w:val="en-US"/>
        </w:rPr>
        <w:t>Dragon</w:t>
      </w:r>
      <w:r w:rsidRPr="002A04B4">
        <w:rPr>
          <w:rFonts w:ascii="Times New Roman" w:hAnsi="Times New Roman"/>
          <w:i/>
          <w:sz w:val="26"/>
          <w:szCs w:val="26"/>
        </w:rPr>
        <w:t>-</w:t>
      </w:r>
      <w:r w:rsidRPr="00D039B3">
        <w:rPr>
          <w:rFonts w:ascii="Times New Roman" w:hAnsi="Times New Roman"/>
          <w:i/>
          <w:sz w:val="26"/>
          <w:szCs w:val="26"/>
          <w:lang w:val="en-US"/>
        </w:rPr>
        <w:t>Kings</w:t>
      </w:r>
      <w:r>
        <w:rPr>
          <w:rFonts w:ascii="Times New Roman" w:hAnsi="Times New Roman"/>
          <w:sz w:val="26"/>
          <w:szCs w:val="26"/>
        </w:rPr>
        <w:t>) и ее дальнейшая доработка и адаптация к изучению социальных явлений.</w:t>
      </w:r>
      <w:proofErr w:type="gramEnd"/>
    </w:p>
    <w:p w:rsidR="00A93BBA" w:rsidRPr="00D131BF" w:rsidRDefault="00A93BBA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</w:p>
    <w:p w:rsidR="00A93BBA" w:rsidRPr="00D131BF" w:rsidRDefault="00A93BBA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) в получении новых эмпирических знаний:</w:t>
      </w:r>
    </w:p>
    <w:p w:rsidR="00A93BBA" w:rsidRDefault="00A93BBA" w:rsidP="00A93BBA">
      <w:pPr>
        <w:pStyle w:val="a3"/>
        <w:widowControl/>
        <w:tabs>
          <w:tab w:val="left" w:pos="360"/>
        </w:tabs>
        <w:spacing w:before="60" w:after="6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В рамках исследования предполагается выявление тенденций </w:t>
      </w:r>
      <w:r w:rsidRPr="003D1119">
        <w:rPr>
          <w:sz w:val="26"/>
          <w:szCs w:val="26"/>
        </w:rPr>
        <w:t>динамики интегральных составляющих п</w:t>
      </w:r>
      <w:r>
        <w:rPr>
          <w:sz w:val="26"/>
          <w:szCs w:val="26"/>
        </w:rPr>
        <w:t>оказателей социально-политической</w:t>
      </w:r>
      <w:r w:rsidRPr="003D1119">
        <w:rPr>
          <w:sz w:val="26"/>
          <w:szCs w:val="26"/>
        </w:rPr>
        <w:t xml:space="preserve"> дестабилизации (антиправительственные демонстрации, за</w:t>
      </w:r>
      <w:r>
        <w:rPr>
          <w:sz w:val="26"/>
          <w:szCs w:val="26"/>
        </w:rPr>
        <w:t>бастовки, беспорядки и т.д.) в м</w:t>
      </w:r>
      <w:r w:rsidRPr="003D1119">
        <w:rPr>
          <w:sz w:val="26"/>
          <w:szCs w:val="26"/>
        </w:rPr>
        <w:t>ир-системном масштабе, а также для региона Ближнего и Среднего Востока для периода 2000-2012 гг.</w:t>
      </w:r>
      <w:r>
        <w:rPr>
          <w:sz w:val="26"/>
          <w:szCs w:val="26"/>
        </w:rPr>
        <w:t xml:space="preserve"> Также для получения знаний на уровне «почвы» предполагается проведение интервью с непосредственными участниками событий Арабской весны.</w:t>
      </w:r>
    </w:p>
    <w:p w:rsidR="002C5523" w:rsidRDefault="002C5523" w:rsidP="00A93BBA">
      <w:pPr>
        <w:pStyle w:val="a3"/>
        <w:widowControl/>
        <w:tabs>
          <w:tab w:val="left" w:pos="360"/>
        </w:tabs>
        <w:spacing w:before="60" w:after="60"/>
        <w:rPr>
          <w:sz w:val="26"/>
          <w:szCs w:val="26"/>
          <w:lang w:val="en-US"/>
        </w:rPr>
      </w:pPr>
    </w:p>
    <w:p w:rsidR="002C5523" w:rsidRPr="002C5523" w:rsidRDefault="002C5523" w:rsidP="00A93BBA">
      <w:pPr>
        <w:pStyle w:val="a3"/>
        <w:widowControl/>
        <w:tabs>
          <w:tab w:val="left" w:pos="360"/>
        </w:tabs>
        <w:spacing w:before="60" w:after="60"/>
        <w:rPr>
          <w:rFonts w:ascii="Times New Roman" w:hAnsi="Times New Roman"/>
          <w:b/>
          <w:sz w:val="26"/>
          <w:szCs w:val="26"/>
          <w:lang w:val="en-US"/>
        </w:rPr>
      </w:pPr>
      <w:r w:rsidRPr="002C5523">
        <w:rPr>
          <w:rFonts w:ascii="Times New Roman" w:hAnsi="Times New Roman"/>
          <w:sz w:val="26"/>
          <w:szCs w:val="26"/>
        </w:rPr>
        <w:t>В ходе реализации данного проекта студенты приобретут навыки работы с источниками на русском и английском языке, выстраивания академического текста, а также получат возможность опубликовать статью по результатам проведенного исследования в одном из научных журналов.</w:t>
      </w:r>
    </w:p>
    <w:sectPr w:rsidR="002C5523" w:rsidRPr="002C5523" w:rsidSect="002311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DD" w:rsidRDefault="007F30DD" w:rsidP="00A93BBA">
      <w:r>
        <w:separator/>
      </w:r>
    </w:p>
  </w:endnote>
  <w:endnote w:type="continuationSeparator" w:id="0">
    <w:p w:rsidR="007F30DD" w:rsidRDefault="007F30DD" w:rsidP="00A9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DD" w:rsidRDefault="007F30DD" w:rsidP="00A93BBA">
      <w:r>
        <w:separator/>
      </w:r>
    </w:p>
  </w:footnote>
  <w:footnote w:type="continuationSeparator" w:id="0">
    <w:p w:rsidR="007F30DD" w:rsidRDefault="007F30DD" w:rsidP="00A9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BA"/>
    <w:rsid w:val="0000090C"/>
    <w:rsid w:val="002311F4"/>
    <w:rsid w:val="002A04B4"/>
    <w:rsid w:val="002C5523"/>
    <w:rsid w:val="004D157E"/>
    <w:rsid w:val="006E79ED"/>
    <w:rsid w:val="007F30DD"/>
    <w:rsid w:val="00A93BBA"/>
    <w:rsid w:val="00C07D2E"/>
    <w:rsid w:val="00E0667A"/>
    <w:rsid w:val="00E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93BBA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Normal Indent"/>
    <w:basedOn w:val="a"/>
    <w:semiHidden/>
    <w:rsid w:val="00A93BBA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character" w:styleId="a5">
    <w:name w:val="Hyperlink"/>
    <w:semiHidden/>
    <w:rsid w:val="00A93BBA"/>
    <w:rPr>
      <w:color w:val="0000FF"/>
      <w:u w:val="single"/>
    </w:rPr>
  </w:style>
  <w:style w:type="character" w:styleId="a6">
    <w:name w:val="footnote reference"/>
    <w:uiPriority w:val="99"/>
    <w:unhideWhenUsed/>
    <w:rsid w:val="00A93BBA"/>
    <w:rPr>
      <w:vertAlign w:val="superscript"/>
    </w:rPr>
  </w:style>
  <w:style w:type="paragraph" w:styleId="a7">
    <w:name w:val="Normal (Web)"/>
    <w:basedOn w:val="a"/>
    <w:uiPriority w:val="99"/>
    <w:unhideWhenUsed/>
    <w:rsid w:val="00A93BB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93BBA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Normal Indent"/>
    <w:basedOn w:val="a"/>
    <w:semiHidden/>
    <w:rsid w:val="00A93BBA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character" w:styleId="a5">
    <w:name w:val="Hyperlink"/>
    <w:semiHidden/>
    <w:rsid w:val="00A93BBA"/>
    <w:rPr>
      <w:color w:val="0000FF"/>
      <w:u w:val="single"/>
    </w:rPr>
  </w:style>
  <w:style w:type="character" w:styleId="a6">
    <w:name w:val="footnote reference"/>
    <w:uiPriority w:val="99"/>
    <w:unhideWhenUsed/>
    <w:rsid w:val="00A93BBA"/>
    <w:rPr>
      <w:vertAlign w:val="superscript"/>
    </w:rPr>
  </w:style>
  <w:style w:type="paragraph" w:styleId="a7">
    <w:name w:val="Normal (Web)"/>
    <w:basedOn w:val="a"/>
    <w:uiPriority w:val="99"/>
    <w:unhideWhenUsed/>
    <w:rsid w:val="00A93BB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korotayev@gmail.com" TargetMode="External"/><Relationship Id="rId9" Type="http://schemas.openxmlformats.org/officeDocument/2006/relationships/hyperlink" Target="mailto:akorotaev@hse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6674</Characters>
  <Application>Microsoft Macintosh Word</Application>
  <DocSecurity>0</DocSecurity>
  <Lines>102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Issaev Leonid</dc:creator>
  <cp:lastModifiedBy>Алиса Шишкина</cp:lastModifiedBy>
  <cp:revision>2</cp:revision>
  <dcterms:created xsi:type="dcterms:W3CDTF">2018-08-14T04:52:00Z</dcterms:created>
  <dcterms:modified xsi:type="dcterms:W3CDTF">2018-08-14T04:52:00Z</dcterms:modified>
</cp:coreProperties>
</file>