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Проектное предложение</w:t>
      </w:r>
    </w:p>
    <w:tbl>
      <w:tblPr>
        <w:tblW w:w="9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548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Тип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Проект по созданию дайджестов современных зарубежных политико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правовых работ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Департамент общих и межотраслевых юридических дисциплин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Быстров Андрей Сергеевич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ассистент департамент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 общих и межотраслевых юридических дисциплин</w:t>
            </w:r>
          </w:p>
        </w:tc>
      </w:tr>
      <w:tr>
        <w:tblPrEx>
          <w:shd w:val="clear" w:color="auto" w:fill="ced7e7"/>
        </w:tblPrEx>
        <w:trPr>
          <w:trHeight w:val="7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В условиях серьезного отставания российской науки в области гуманитарного знания особенно важное значение приобретает наблюдение за актуальными зарубежными академическими трендами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Данный проект следует рассматривать как необходимую часть работы по ликвидации вышеозначенного пробела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В рамках проекта предполагается организация исследовательской студенческой группы для написания дайджестов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обзоров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по нескольким актуальным политико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правовым проблемам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 будут выбраны участниками по итогам контент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анализа ведущих западных журналов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Результатом работы группы должен стать информационный продукт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котором сжато передается содержание наиболее важных публикаций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высокий индекс цитирования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по итогам изучения передовых западных журналов посвященных проблемам политической философии и философии права в течение учебного года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sz w:val="24"/>
                <w:szCs w:val="24"/>
                <w:rtl w:val="0"/>
                <w:lang w:val="ru-RU"/>
              </w:rPr>
              <w:t>При этом обзор носит трехкомпонентную структуру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краткую аннотацию проблемы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основные положения статей по выбранному вопросу и собственный критический анализ материала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53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Основная исследовательская цель проекта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подготовить серию обзоров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дайджестов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по итогам изучения публикаций в западных журналах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Образовательная цель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формирование аналитических навыков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умений работать с оригинальной иноязычной литературой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развитие способности к смысловой компрессии письменных текстов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Виды деятельности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выполняемые студентом в проекте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отрабатываемые навыки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Реализация проекта подразумевает несколько стадий и видов деятельности</w:t>
            </w:r>
            <w:r>
              <w:rPr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Студенты  делятся на мини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подгруппы </w:t>
            </w:r>
            <w:r>
              <w:rPr>
                <w:rtl w:val="0"/>
                <w:lang w:val="ru-RU"/>
              </w:rPr>
              <w:t xml:space="preserve">(2-3 </w:t>
            </w:r>
            <w:r>
              <w:rPr>
                <w:rtl w:val="0"/>
                <w:lang w:val="ru-RU"/>
              </w:rPr>
              <w:t>человек или работают в индивидуальным порядке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Осуществляют литературный обзор современной зарубежной литературы по выбранной теме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Участвуют в еженедельном исследовательском семинаре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 котором осуществляется публичный анализ проделанной работы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Составляют непосредственный обзор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дайджест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по итогам проведенной работы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14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0</w:t>
            </w:r>
            <w:r>
              <w:rPr>
                <w:sz w:val="24"/>
                <w:szCs w:val="24"/>
                <w:rtl w:val="0"/>
                <w:lang w:val="ru-RU"/>
              </w:rPr>
              <w:t>1.201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  <w:r>
              <w:rPr>
                <w:sz w:val="24"/>
                <w:szCs w:val="24"/>
                <w:rtl w:val="0"/>
                <w:lang w:val="ru-RU"/>
              </w:rPr>
              <w:t xml:space="preserve"> – </w:t>
            </w:r>
            <w:r>
              <w:rPr>
                <w:sz w:val="24"/>
                <w:szCs w:val="24"/>
                <w:rtl w:val="0"/>
                <w:lang w:val="ru-RU"/>
              </w:rPr>
              <w:t>30.06.201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>кредитов</w:t>
            </w:r>
          </w:p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Сочетание индивидуальной подготовки и коллаборации в рамках еженедельного исследовательского семинара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 рамках индивидуальной подготовки студент составляет обзор изученного материала и готовит его к коллективному обсуждению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На исследовательском семинаре происходит первичная апробация результатов проведенного обзора 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осуществляется публичная защита и критический анализ выявленных проблем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 xml:space="preserve">Интенсивность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часы в неделю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6 (3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часа аудиторной работы </w:t>
            </w:r>
            <w:r>
              <w:rPr>
                <w:sz w:val="24"/>
                <w:szCs w:val="24"/>
                <w:rtl w:val="0"/>
                <w:lang w:val="ru-RU"/>
              </w:rPr>
              <w:t xml:space="preserve">+ 3 </w:t>
            </w:r>
            <w:r>
              <w:rPr>
                <w:sz w:val="24"/>
                <w:szCs w:val="24"/>
                <w:rtl w:val="0"/>
                <w:lang w:val="ru-RU"/>
              </w:rPr>
              <w:t>часа домашней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-</w:t>
            </w:r>
            <w:r>
              <w:rPr>
                <w:sz w:val="24"/>
                <w:szCs w:val="24"/>
                <w:rtl w:val="0"/>
                <w:lang w:val="ru-RU"/>
              </w:rPr>
              <w:t>исследовательская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-</w:t>
            </w:r>
            <w:r>
              <w:rPr>
                <w:sz w:val="24"/>
                <w:szCs w:val="24"/>
                <w:rtl w:val="0"/>
                <w:lang w:val="ru-RU"/>
              </w:rPr>
              <w:t>творческая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-</w:t>
            </w:r>
            <w:r>
              <w:rPr>
                <w:sz w:val="24"/>
                <w:szCs w:val="24"/>
                <w:rtl w:val="0"/>
                <w:lang w:val="ru-RU"/>
              </w:rPr>
              <w:t>переводческая</w:t>
            </w:r>
          </w:p>
        </w:tc>
      </w:tr>
      <w:tr>
        <w:tblPrEx>
          <w:shd w:val="clear" w:color="auto" w:fill="ced7e7"/>
        </w:tblPrEx>
        <w:trPr>
          <w:trHeight w:val="253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Требования к студентам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знание иностранного языка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заинтересованность в теме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самоорганизация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внимательность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умение работать с большим объемом данных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умение работать в команде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интерес к политической философии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интерес к теории права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Серия критических обзоров по актуальным политико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правовым проблемам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рассматриваемых в зарубежных публикациях 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Формат представления результатов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отчет студента по проекту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Объем отчета должен составлять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 xml:space="preserve">авторский лист </w:t>
            </w:r>
            <w:r>
              <w:rPr>
                <w:sz w:val="24"/>
                <w:szCs w:val="24"/>
                <w:rtl w:val="0"/>
                <w:lang w:val="ru-RU"/>
              </w:rPr>
              <w:t xml:space="preserve">(40.000 </w:t>
            </w:r>
            <w:r>
              <w:rPr>
                <w:sz w:val="24"/>
                <w:szCs w:val="24"/>
                <w:rtl w:val="0"/>
                <w:lang w:val="ru-RU"/>
              </w:rPr>
              <w:t>знаков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Итоговая оценка за участие в проекте определяется с учетом оценки за два вида активности</w:t>
            </w:r>
            <w:r>
              <w:rPr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Участие в еженедельном исследовательском семинаре </w:t>
            </w:r>
            <w:r>
              <w:rPr>
                <w:sz w:val="24"/>
                <w:szCs w:val="24"/>
                <w:rtl w:val="0"/>
                <w:lang w:val="ru-RU"/>
              </w:rPr>
              <w:t xml:space="preserve">(0,3)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Подготовка обзора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дайджеста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исследуемой проблеме </w:t>
            </w:r>
            <w:r>
              <w:rPr>
                <w:sz w:val="24"/>
                <w:szCs w:val="24"/>
                <w:rtl w:val="0"/>
                <w:lang w:val="ru-RU"/>
              </w:rPr>
              <w:t>(0,7)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прохождение собеседования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уровень владения английским языком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рейтинг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Юриспруденция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ru-RU"/>
              </w:rPr>
              <w:t>Территория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Факультет права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Большой Трехсвятительский переулок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3, 415 </w:t>
            </w:r>
            <w:r>
              <w:rPr>
                <w:sz w:val="24"/>
                <w:szCs w:val="24"/>
                <w:rtl w:val="0"/>
                <w:lang w:val="ru-RU"/>
              </w:rPr>
              <w:t>аудитория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