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Профориентационный образовательный проект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«Деловая игра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‘‘</w:t>
      </w: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ru-RU"/>
        </w:rPr>
        <w:t>Большой театр</w:t>
      </w: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en-US"/>
        </w:rPr>
        <w:t>’’</w:t>
      </w: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ru-RU"/>
        </w:rPr>
        <w:t>»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ru-RU"/>
        </w:rPr>
        <w:t>Проектное предложение №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</w:rPr>
        <w:t>1</w:t>
      </w:r>
    </w:p>
    <w:tbl>
      <w:tblPr>
        <w:tblW w:w="923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934"/>
        <w:gridCol w:w="5297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Тип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rPr/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Профориентационный образовательный проект 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«Деловая игра ‘‘Большой театр’’»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Департамент интегрированных коммуникаций ФКМД НИУ ВШЭ</w:t>
            </w:r>
          </w:p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</w:rPr>
              <w:t>Афанасьева Ольга Валентиновна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</w:rPr>
              <w:t>доцент департамента интегрированных коммуникаций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</w:rPr>
              <w:t>заместитель декана факультета коммуникаций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n-US"/>
              </w:rPr>
              <w:t>медиа и дизайна</w:t>
            </w:r>
          </w:p>
        </w:tc>
      </w:tr>
      <w:tr>
        <w:tblPrEx>
          <w:shd w:val="clear" w:color="auto" w:fill="cadfff"/>
        </w:tblPrEx>
        <w:trPr>
          <w:trHeight w:val="338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Описание содержания проектной работы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Разработка профориентационной деловой игры для школьников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погружающей в мир международных отношений и межгосударственных коммуникаций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концепция игры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цель и задачи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проработка сценария игры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роли игроков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легенды государств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дополнительные задания для команд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тайминг игры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составление необходимых образовательных материалов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в том числе правил игры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По умолчанию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оценочные листы для членов жюри</w:t>
            </w:r>
          </w:p>
        </w:tc>
      </w:tr>
      <w:tr>
        <w:tblPrEx>
          <w:shd w:val="clear" w:color="auto" w:fill="cadfff"/>
        </w:tblPrEx>
        <w:trPr>
          <w:trHeight w:val="198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>Цель и задачи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Разработать деловую игру для школьников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погружающую в мир мир международных отношений и межгосударственных коммуникаций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с помощью которой познакомить школьников с образовательными программами НИУ ВШЭ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«Реклама и связи с общественностью»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«Международные отношения»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Сроки реализации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10.12.2018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8.06.2018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4 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кредита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Тип занятости студента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Смешанная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удаленная самостоятельная работа над проектом и работа на месте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Интенсивность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часы в неделю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часов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(2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часа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аудиторная работа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4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часа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удаленная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самостоятельная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работа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Вид проектной деятельности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Работа в группе</w:t>
            </w:r>
          </w:p>
        </w:tc>
      </w:tr>
      <w:tr>
        <w:tblPrEx>
          <w:shd w:val="clear" w:color="auto" w:fill="cadfff"/>
        </w:tblPrEx>
        <w:trPr>
          <w:trHeight w:val="1324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Требования к студентам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участникам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Креативность и творческое мышление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Грамотность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; </w:t>
            </w:r>
          </w:p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Ответственность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дисциплинированность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Навыки работы со школьной аудиторией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Планируемые результаты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Проектное предложение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проведение игры</w:t>
            </w:r>
          </w:p>
        </w:tc>
      </w:tr>
      <w:tr>
        <w:tblPrEx>
          <w:shd w:val="clear" w:color="auto" w:fill="cadfff"/>
        </w:tblPrEx>
        <w:trPr>
          <w:trHeight w:val="115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Формат представления результатов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который подлежит оцениванию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отчет студента по проекту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Проектное предложение в формате 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word-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документа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проведение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апробация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игры</w:t>
            </w:r>
          </w:p>
        </w:tc>
      </w:tr>
      <w:tr>
        <w:tblPrEx>
          <w:shd w:val="clear" w:color="auto" w:fill="cadfff"/>
        </w:tblPrEx>
        <w:trPr>
          <w:trHeight w:val="198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Критерии оценивания результатов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1)*0,5+(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2)*0,2+(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3)*0,3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cs="Calibri" w:hAnsi="Calibri" w:eastAsia="Calibri"/>
                <w:sz w:val="24"/>
                <w:szCs w:val="24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1 -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концепция игры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2 -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вовлеченность в работу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 xml:space="preserve">3 - 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проведение деловой игры в Вороново для учащихся Лицея НИУ ВШЭ и школ распределенного Лицея НИУ ВШЭ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adfff"/>
        </w:tblPrEx>
        <w:trPr>
          <w:trHeight w:val="201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Критерии отбора студентов в проект 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ru-RU"/>
              </w:rPr>
              <w:t>применяются в случае большого количества заявок на проект</w:t>
            </w:r>
            <w:r>
              <w:rPr>
                <w:rFonts w:ascii="Calibri" w:hAnsi="Calibri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Нет"/>
                <w:rFonts w:ascii="Calibri" w:cs="Calibri" w:hAnsi="Calibri" w:eastAsia="Calibri"/>
                <w:color w:val="454545"/>
                <w:sz w:val="24"/>
                <w:szCs w:val="24"/>
                <w:u w:color="454545"/>
              </w:rPr>
            </w:pPr>
            <w:r>
              <w:rPr>
                <w:rFonts w:ascii="Calibri" w:hAnsi="Calibri" w:hint="default"/>
                <w:color w:val="000000"/>
                <w:sz w:val="24"/>
                <w:szCs w:val="24"/>
                <w:u w:color="000000"/>
                <w:rtl w:val="0"/>
                <w:lang w:val="ru-RU"/>
              </w:rPr>
              <w:t>Собеседование на основе мотивационного письма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color w:val="000000"/>
                <w:sz w:val="24"/>
                <w:szCs w:val="24"/>
                <w:u w:color="000000"/>
                <w:rtl w:val="0"/>
                <w:lang w:val="ru-RU"/>
              </w:rPr>
              <w:t>отправленного на корпоративную почту помощнику руководителя проекта Ерофеевой Я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rtl w:val="0"/>
                <w:lang w:val="ru-RU"/>
              </w:rPr>
              <w:t>.</w:t>
            </w:r>
            <w:r>
              <w:rPr>
                <w:rFonts w:ascii="Calibri" w:hAnsi="Calibri" w:hint="default"/>
                <w:color w:val="000000"/>
                <w:sz w:val="24"/>
                <w:szCs w:val="24"/>
                <w:u w:color="000000"/>
                <w:rtl w:val="0"/>
                <w:lang w:val="ru-RU"/>
              </w:rPr>
              <w:t>В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rtl w:val="0"/>
                <w:lang w:val="ru-RU"/>
              </w:rPr>
              <w:t xml:space="preserve">.: </w:t>
            </w:r>
            <w:r>
              <w:rPr>
                <w:rStyle w:val="Hyperlink.0"/>
                <w:rFonts w:ascii="Calibri" w:cs="Calibri" w:hAnsi="Calibri" w:eastAsia="Calibri"/>
                <w:color w:val="0000ff"/>
                <w:sz w:val="24"/>
                <w:szCs w:val="24"/>
                <w:u w:val="single" w:color="0000ff"/>
                <w:lang w:val="ru-RU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color w:val="0000ff"/>
                <w:sz w:val="24"/>
                <w:szCs w:val="24"/>
                <w:u w:val="single" w:color="0000ff"/>
                <w:lang w:val="ru-RU"/>
              </w:rPr>
              <w:instrText xml:space="preserve"> HYPERLINK "https://vk.com/write?email=yerofeeva@hse.ru"</w:instrText>
            </w:r>
            <w:r>
              <w:rPr>
                <w:rStyle w:val="Hyperlink.0"/>
                <w:rFonts w:ascii="Calibri" w:cs="Calibri" w:hAnsi="Calibri" w:eastAsia="Calibri"/>
                <w:color w:val="0000ff"/>
                <w:sz w:val="24"/>
                <w:szCs w:val="24"/>
                <w:u w:val="single" w:color="0000ff"/>
                <w:lang w:val="ru-RU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color w:val="0000ff"/>
                <w:sz w:val="24"/>
                <w:szCs w:val="24"/>
                <w:u w:val="single" w:color="0000ff"/>
                <w:rtl w:val="0"/>
                <w:lang w:val="ru-RU"/>
              </w:rPr>
              <w:t>yerofeeva@hse.ru</w:t>
            </w:r>
            <w:r>
              <w:rPr>
                <w:rFonts w:ascii="Calibri" w:cs="Calibri" w:hAnsi="Calibri" w:eastAsia="Calibri"/>
                <w:color w:val="454545"/>
                <w:sz w:val="24"/>
                <w:szCs w:val="24"/>
                <w:u w:color="454545"/>
              </w:rPr>
              <w:fldChar w:fldCharType="end" w:fldLock="0"/>
            </w:r>
            <w:r>
              <w:rPr>
                <w:rStyle w:val="Нет"/>
                <w:rFonts w:ascii="Calibri" w:hAnsi="Calibri"/>
                <w:color w:val="454545"/>
                <w:sz w:val="24"/>
                <w:szCs w:val="24"/>
                <w:u w:color="454545"/>
                <w:rtl w:val="0"/>
                <w:lang w:val="ru-RU"/>
              </w:rPr>
              <w:t xml:space="preserve"> </w:t>
            </w:r>
          </w:p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В теме письма необходимо написать «Мотивационное письмо «Проект </w:t>
            </w:r>
            <w:r>
              <w:rPr>
                <w:rStyle w:val="Нет"/>
                <w:rFonts w:ascii="Calibri" w:hAnsi="Calibri" w:hint="default"/>
                <w:sz w:val="24"/>
                <w:szCs w:val="24"/>
                <w:rtl w:val="0"/>
                <w:lang w:val="en-US"/>
              </w:rPr>
              <w:t>‘‘</w:t>
            </w:r>
            <w:r>
              <w:rPr>
                <w:rStyle w:val="Нет"/>
                <w:rFonts w:ascii="Calibri" w:hAnsi="Calibri" w:hint="default"/>
                <w:sz w:val="24"/>
                <w:szCs w:val="24"/>
                <w:rtl w:val="0"/>
                <w:lang w:val="ru-RU"/>
              </w:rPr>
              <w:t>Большой театр</w:t>
            </w:r>
            <w:r>
              <w:rPr>
                <w:rStyle w:val="Нет"/>
                <w:rFonts w:ascii="Calibri" w:hAnsi="Calibri" w:hint="default"/>
                <w:sz w:val="24"/>
                <w:szCs w:val="24"/>
                <w:rtl w:val="0"/>
                <w:lang w:val="en-US"/>
              </w:rPr>
              <w:t>’’</w:t>
            </w:r>
            <w:r>
              <w:rPr>
                <w:rStyle w:val="Нет"/>
                <w:rFonts w:ascii="Calibri" w:hAnsi="Calibri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Style w:val="Нет"/>
                <w:rFonts w:ascii="Calibri" w:hAnsi="Calibri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Нет"/>
                <w:rFonts w:ascii="Calibri" w:hAnsi="Calibri" w:hint="default"/>
                <w:sz w:val="24"/>
                <w:szCs w:val="24"/>
                <w:rtl w:val="0"/>
                <w:lang w:val="ru-RU"/>
              </w:rPr>
              <w:t>Образовательные программы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Style w:val="Нет"/>
                <w:rFonts w:ascii="Calibri" w:hAnsi="Calibri" w:hint="default"/>
                <w:sz w:val="24"/>
                <w:szCs w:val="24"/>
                <w:rtl w:val="0"/>
                <w:lang w:val="ru-RU"/>
              </w:rPr>
              <w:t>«Реклама и связи с общественностью»</w:t>
            </w:r>
            <w:r>
              <w:rPr>
                <w:rStyle w:val="Нет"/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24"/>
                <w:szCs w:val="24"/>
                <w:rtl w:val="0"/>
                <w:lang w:val="ru-RU"/>
              </w:rPr>
              <w:t>«Международные отношения»</w:t>
            </w:r>
            <w:r>
              <w:rPr>
                <w:rStyle w:val="Нет"/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24"/>
                <w:szCs w:val="24"/>
                <w:rtl w:val="0"/>
                <w:lang w:val="ru-RU"/>
              </w:rPr>
              <w:t>«Мировая экономика»</w:t>
            </w:r>
          </w:p>
        </w:tc>
      </w:tr>
      <w:tr>
        <w:tblPrEx>
          <w:shd w:val="clear" w:color="auto" w:fill="cadfff"/>
        </w:tblPrEx>
        <w:trPr>
          <w:trHeight w:val="89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Нет"/>
                <w:rFonts w:ascii="Calibri" w:hAnsi="Calibri" w:hint="default"/>
                <w:sz w:val="24"/>
                <w:szCs w:val="24"/>
                <w:rtl w:val="0"/>
                <w:lang w:val="ru-RU"/>
              </w:rPr>
              <w:t>Территория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Style w:val="Нет"/>
                <w:rFonts w:ascii="Calibri" w:hAnsi="Calibri" w:hint="default"/>
                <w:sz w:val="24"/>
                <w:szCs w:val="24"/>
                <w:rtl w:val="0"/>
                <w:lang w:val="ru-RU"/>
              </w:rPr>
              <w:t xml:space="preserve">Департамент интегрированных коммуникаций </w:t>
            </w:r>
            <w:r>
              <w:rPr>
                <w:rStyle w:val="Нет"/>
                <w:rFonts w:ascii="Calibri" w:hAnsi="Calibri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sz w:val="24"/>
                <w:szCs w:val="24"/>
                <w:rtl w:val="0"/>
                <w:lang w:val="ru-RU"/>
              </w:rPr>
              <w:t>Москва</w:t>
            </w:r>
            <w:r>
              <w:rPr>
                <w:rStyle w:val="Нет"/>
                <w:rFonts w:ascii="Calibri" w:hAnsi="Calibri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sz w:val="24"/>
                <w:szCs w:val="24"/>
                <w:rtl w:val="0"/>
                <w:lang w:val="ru-RU"/>
              </w:rPr>
              <w:t>Малый Трехсвятительский пер</w:t>
            </w:r>
            <w:r>
              <w:rPr>
                <w:rStyle w:val="Нет"/>
                <w:rFonts w:ascii="Calibri" w:hAnsi="Calibri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Calibri" w:hAnsi="Calibri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Style w:val="Нет"/>
                <w:rFonts w:ascii="Calibri" w:hAnsi="Calibri"/>
                <w:sz w:val="24"/>
                <w:szCs w:val="24"/>
                <w:rtl w:val="0"/>
                <w:lang w:val="ru-RU"/>
              </w:rPr>
              <w:t xml:space="preserve">. 8/2, </w:t>
            </w:r>
            <w:r>
              <w:rPr>
                <w:rStyle w:val="Нет"/>
                <w:rFonts w:ascii="Calibri" w:hAnsi="Calibri" w:hint="default"/>
                <w:sz w:val="24"/>
                <w:szCs w:val="24"/>
                <w:rtl w:val="0"/>
                <w:lang w:val="ru-RU"/>
              </w:rPr>
              <w:t>стр</w:t>
            </w:r>
            <w:r>
              <w:rPr>
                <w:rStyle w:val="Нет"/>
                <w:rFonts w:ascii="Calibri" w:hAnsi="Calibri"/>
                <w:sz w:val="24"/>
                <w:szCs w:val="24"/>
                <w:rtl w:val="0"/>
                <w:lang w:val="ru-RU"/>
              </w:rPr>
              <w:t>.1).</w:t>
            </w:r>
          </w:p>
        </w:tc>
      </w:tr>
    </w:tbl>
    <w:p>
      <w:pPr>
        <w:pStyle w:val="Текстовый блок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</w:pPr>
      <w:r>
        <w:rPr>
          <w:rStyle w:val="Нет"/>
          <w:rFonts w:ascii="Calibri" w:cs="Calibri" w:hAnsi="Calibri" w:eastAsia="Calibri"/>
          <w:b w:val="1"/>
          <w:bCs w:val="1"/>
          <w:sz w:val="28"/>
          <w:szCs w:val="28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5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